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B8" w:rsidRPr="006474B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:rsidR="006474B8" w:rsidRPr="006474B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:rsidR="006474B8" w:rsidRPr="006474B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:rsidR="006474B8" w:rsidRPr="006474B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:rsidR="006474B8" w:rsidRPr="006474B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:rsidR="006474B8" w:rsidRPr="006474B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:rsidR="006474B8" w:rsidRPr="006474B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:rsidR="006474B8" w:rsidRPr="006474B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:rsidR="006474B8" w:rsidRPr="006474B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:rsidR="006474B8" w:rsidRPr="006474B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:rsidR="006474B8" w:rsidRPr="006474B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:rsidR="006474B8" w:rsidRPr="002405E7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</w:pPr>
      <w:r w:rsidRPr="002405E7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Bilješke uz financijske izvještaje</w:t>
      </w:r>
    </w:p>
    <w:p w:rsidR="006474B8" w:rsidRPr="002405E7" w:rsidRDefault="006474B8" w:rsidP="006474B8">
      <w:pPr>
        <w:keepNext/>
        <w:spacing w:after="0" w:line="240" w:lineRule="auto"/>
        <w:jc w:val="center"/>
        <w:outlineLvl w:val="6"/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</w:pPr>
      <w:r w:rsidRPr="002405E7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Javne u</w:t>
      </w:r>
      <w:r w:rsidR="009F78BD" w:rsidRPr="002405E7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stanove „Nacionalni park Plitvič</w:t>
      </w:r>
      <w:r w:rsidRPr="002405E7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ka jezera“</w:t>
      </w:r>
    </w:p>
    <w:p w:rsidR="006474B8" w:rsidRPr="002405E7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noProof/>
          <w:sz w:val="36"/>
          <w:szCs w:val="36"/>
          <w:lang w:eastAsia="hr-HR"/>
        </w:rPr>
      </w:pPr>
    </w:p>
    <w:p w:rsidR="006474B8" w:rsidRPr="002405E7" w:rsidRDefault="006474B8" w:rsidP="006474B8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</w:pPr>
      <w:r w:rsidRPr="002405E7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za razdoblje od 01. siječnja – 31. prosinca 201</w:t>
      </w:r>
      <w:r w:rsidR="009F78BD" w:rsidRPr="002405E7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9</w:t>
      </w:r>
      <w:r w:rsidRPr="002405E7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. godine</w:t>
      </w:r>
    </w:p>
    <w:p w:rsidR="006474B8" w:rsidRPr="002405E7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  <w:r w:rsidRPr="002405E7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Plitvička Jezera, siječanj 2019.</w:t>
      </w:r>
    </w:p>
    <w:p w:rsidR="006474B8" w:rsidRPr="002405E7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:rsidR="006474B8" w:rsidRPr="002405E7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U V O D</w:t>
      </w:r>
    </w:p>
    <w:p w:rsidR="006474B8" w:rsidRPr="006474B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"/>
          <w:sz w:val="24"/>
          <w:szCs w:val="24"/>
          <w:lang w:eastAsia="hr-HR"/>
        </w:rPr>
        <w:t xml:space="preserve">Javna ustanova Nacionalni park Plitvička jezera, matični broj 3310850, OIB 91109303119, registrirana je u Trgovačkom sudu Rijeka, broj 080101059, broj RKP-a: 22218; Razina 11 proračunski korisnik državnog proračuna i glava unutar nadležnog ministarstva; 077: MINISTARSTVO ZAŠTITE OKOLIŠA I PRIRODE; Šifra Županije 455 – LIČKO-SENJSKA, oznaka djelatnosti: 9104, predmet poslovanja - djelatnosti: </w:t>
      </w:r>
    </w:p>
    <w:p w:rsidR="006474B8" w:rsidRPr="006474B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"/>
          <w:sz w:val="24"/>
          <w:szCs w:val="24"/>
          <w:lang w:eastAsia="hr-HR"/>
        </w:rPr>
        <w:t>-zaštita, održavanje i promicanje nacionalnog parka u cilju zaštite i očuvanja izvornosti prirode, osiguravanja neometanog odvijanja prirodnih procesa  i održivog korištenja prirodnih dobara, nadziranje provođenja uvjeta i mjera zaštite prirode na području kojim upravljaju te sudjelovanje u prikupljanju podataka u svrhu praćenja stanja očuvanosti prirode (monitoring)</w:t>
      </w:r>
    </w:p>
    <w:p w:rsidR="006474B8" w:rsidRPr="006474B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"/>
          <w:sz w:val="24"/>
          <w:szCs w:val="24"/>
          <w:lang w:eastAsia="hr-HR"/>
        </w:rPr>
        <w:t>-prihvat, informiranje, vođenje i prijevoz posjetitelja vlastitim prijevoznim sredstvima</w:t>
      </w:r>
    </w:p>
    <w:p w:rsidR="006474B8" w:rsidRPr="006474B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"/>
          <w:sz w:val="24"/>
          <w:szCs w:val="24"/>
          <w:lang w:eastAsia="hr-HR"/>
        </w:rPr>
        <w:t>-ugostiteljsko-turističke djelatnosti</w:t>
      </w:r>
    </w:p>
    <w:p w:rsidR="006474B8" w:rsidRPr="006474B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"/>
          <w:sz w:val="24"/>
          <w:szCs w:val="24"/>
          <w:lang w:eastAsia="hr-HR"/>
        </w:rPr>
        <w:t xml:space="preserve">-mjenjački poslovi u skladu sa Zakonom o deviznom poslovanju („Narodne novine“, broj 96/03, 140/05, 132/06, 150/08, 133/09, 145/10 i 76/13)                                         </w:t>
      </w:r>
    </w:p>
    <w:p w:rsidR="006474B8" w:rsidRPr="006474B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"/>
          <w:sz w:val="24"/>
          <w:szCs w:val="24"/>
          <w:lang w:eastAsia="hr-HR"/>
        </w:rPr>
        <w:t>-proizvodnja, prerada i pripremanje mesa, mlijeka, kruha i peciva</w:t>
      </w:r>
    </w:p>
    <w:p w:rsidR="006474B8" w:rsidRPr="006474B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"/>
          <w:sz w:val="24"/>
          <w:szCs w:val="24"/>
          <w:lang w:eastAsia="hr-HR"/>
        </w:rPr>
        <w:t>-trgovina na malo suvenirima, rukotvorinama, religijskim predmetima i prehrambenim i neprehrambenim proizvodima sukladno posebnim propisima</w:t>
      </w:r>
    </w:p>
    <w:p w:rsidR="006474B8" w:rsidRPr="006474B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"/>
          <w:sz w:val="24"/>
          <w:szCs w:val="24"/>
          <w:lang w:eastAsia="hr-HR"/>
        </w:rPr>
        <w:t>-trgovina na veliko i malo u okviru svoje djelatnosti</w:t>
      </w:r>
    </w:p>
    <w:p w:rsidR="006474B8" w:rsidRPr="006474B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"/>
          <w:sz w:val="24"/>
          <w:szCs w:val="24"/>
          <w:lang w:eastAsia="hr-HR"/>
        </w:rPr>
        <w:t>-prijevoz robe i osoblja za vlastite potrebe unutar nacionalnog parka</w:t>
      </w:r>
    </w:p>
    <w:p w:rsidR="006474B8" w:rsidRPr="006474B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"/>
          <w:sz w:val="24"/>
          <w:szCs w:val="24"/>
          <w:lang w:eastAsia="hr-HR"/>
        </w:rPr>
        <w:t>-poticanje izrade proizvoda autohtone kulture (etnološko blago), sakupljanje i arheološkog ili kulturnog blaga i sl., u skladu s posebnim propisima</w:t>
      </w:r>
    </w:p>
    <w:p w:rsidR="006474B8" w:rsidRPr="006474B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"/>
          <w:sz w:val="24"/>
          <w:szCs w:val="24"/>
          <w:lang w:eastAsia="hr-HR"/>
        </w:rPr>
        <w:t>-poticanje razvoja tradicionalne ugostiteljske ponude (seoski turizam), u skladu s posebnim zakonima</w:t>
      </w:r>
    </w:p>
    <w:p w:rsidR="006474B8" w:rsidRPr="006474B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"/>
          <w:sz w:val="24"/>
          <w:szCs w:val="24"/>
          <w:lang w:eastAsia="hr-HR"/>
        </w:rPr>
        <w:t>-izdavačka djelatnost</w:t>
      </w:r>
    </w:p>
    <w:p w:rsidR="006474B8" w:rsidRPr="006474B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"/>
          <w:sz w:val="24"/>
          <w:szCs w:val="24"/>
          <w:lang w:eastAsia="hr-HR"/>
        </w:rPr>
        <w:t>-djelatnost upravljanja i gospodarskog korite</w:t>
      </w:r>
    </w:p>
    <w:p w:rsidR="006474B8" w:rsidRPr="006474B8" w:rsidRDefault="006474B8" w:rsidP="006474B8">
      <w:pPr>
        <w:spacing w:after="0" w:line="276" w:lineRule="auto"/>
        <w:jc w:val="both"/>
        <w:rPr>
          <w:rFonts w:ascii="Calibri" w:eastAsia="Arial Unicode MS" w:hAnsi="Calibri" w:cs="Arial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"/>
          <w:sz w:val="24"/>
          <w:szCs w:val="24"/>
          <w:lang w:eastAsia="hr-HR"/>
        </w:rPr>
        <w:t>-djelatnost upravljanja i gospodarskog korištenja žičare</w:t>
      </w:r>
    </w:p>
    <w:p w:rsidR="006474B8" w:rsidRPr="006474B8" w:rsidRDefault="006474B8" w:rsidP="006474B8">
      <w:pPr>
        <w:spacing w:after="0" w:line="276" w:lineRule="auto"/>
        <w:jc w:val="both"/>
        <w:rPr>
          <w:rFonts w:ascii="Calibri" w:eastAsia="Arial Unicode MS" w:hAnsi="Calibri" w:cs="Arial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"/>
          <w:sz w:val="24"/>
          <w:szCs w:val="24"/>
          <w:lang w:eastAsia="hr-HR"/>
        </w:rPr>
        <w:t>-upravljanje zgradama</w:t>
      </w:r>
    </w:p>
    <w:p w:rsidR="006474B8" w:rsidRPr="006474B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"/>
          <w:sz w:val="24"/>
          <w:szCs w:val="24"/>
          <w:lang w:eastAsia="hr-HR"/>
        </w:rPr>
        <w:t>-djelatnost promidžbe (reklama i propaganda) i istraživanje tržišta</w:t>
      </w:r>
    </w:p>
    <w:p w:rsidR="006474B8" w:rsidRPr="006474B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"/>
          <w:sz w:val="24"/>
          <w:szCs w:val="24"/>
          <w:lang w:eastAsia="hr-HR"/>
        </w:rPr>
        <w:t>-taksi služba</w:t>
      </w:r>
    </w:p>
    <w:p w:rsidR="006474B8" w:rsidRPr="006474B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"/>
          <w:sz w:val="24"/>
          <w:szCs w:val="24"/>
          <w:lang w:eastAsia="hr-HR"/>
        </w:rPr>
        <w:t xml:space="preserve">-djelatnost profesionalne vatrogasne postrojbe u gospodarstvu </w:t>
      </w: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tabs>
          <w:tab w:val="left" w:pos="0"/>
          <w:tab w:val="left" w:pos="142"/>
          <w:tab w:val="left" w:pos="284"/>
        </w:tabs>
        <w:spacing w:after="0" w:line="240" w:lineRule="auto"/>
        <w:ind w:firstLine="567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>ORGANIZACIJSKA STRUKTURA</w:t>
      </w:r>
    </w:p>
    <w:p w:rsidR="006474B8" w:rsidRPr="006474B8" w:rsidRDefault="006474B8" w:rsidP="006474B8">
      <w:pPr>
        <w:tabs>
          <w:tab w:val="left" w:pos="142"/>
          <w:tab w:val="left" w:pos="284"/>
          <w:tab w:val="left" w:pos="480"/>
          <w:tab w:val="num" w:pos="3960"/>
          <w:tab w:val="left" w:pos="10440"/>
        </w:tabs>
        <w:spacing w:after="0" w:line="240" w:lineRule="auto"/>
        <w:ind w:right="39"/>
        <w:jc w:val="both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</w:p>
    <w:p w:rsidR="006474B8" w:rsidRPr="006474B8" w:rsidRDefault="006474B8" w:rsidP="006474B8">
      <w:pPr>
        <w:tabs>
          <w:tab w:val="left" w:pos="0"/>
          <w:tab w:val="left" w:pos="142"/>
          <w:tab w:val="left" w:pos="284"/>
          <w:tab w:val="left" w:pos="10680"/>
        </w:tabs>
        <w:spacing w:after="0" w:line="240" w:lineRule="auto"/>
        <w:ind w:firstLine="567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Javna ustanova Nacionalni park Plitvička jezera knjigovodstvo vodi kao proračunski korisnik, zalihe vodi po srednjoj vrijednosti. Ne nalazi se u riznici i posluje sa vlastitim sredstvima, posluje pozitivno i obveznik je poreza na dobit i poreza na dodanu vrijednost. </w:t>
      </w:r>
    </w:p>
    <w:p w:rsidR="006474B8" w:rsidRPr="006474B8" w:rsidRDefault="006474B8" w:rsidP="006474B8">
      <w:pPr>
        <w:tabs>
          <w:tab w:val="left" w:pos="0"/>
        </w:tabs>
        <w:spacing w:after="0" w:line="240" w:lineRule="auto"/>
        <w:ind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</w:p>
    <w:p w:rsidR="006474B8" w:rsidRPr="006474B8" w:rsidRDefault="006474B8" w:rsidP="006474B8">
      <w:pPr>
        <w:tabs>
          <w:tab w:val="left" w:pos="0"/>
          <w:tab w:val="left" w:pos="142"/>
          <w:tab w:val="left" w:pos="284"/>
          <w:tab w:val="left" w:pos="10680"/>
        </w:tabs>
        <w:spacing w:after="0" w:line="240" w:lineRule="auto"/>
        <w:ind w:firstLine="567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Javna ustanova Nacionalni park Plitvička jezera ustrojava se kao jedinstvena cjelina čije je djelovanje, u cilju postizanja što boljih rezultata u upravljanju Nacionalnim parkom  organizirano kroz niže navedene i međusobno povezane službe i podružnice: </w:t>
      </w:r>
    </w:p>
    <w:p w:rsidR="006474B8" w:rsidRPr="006474B8" w:rsidRDefault="006474B8" w:rsidP="006474B8">
      <w:pPr>
        <w:tabs>
          <w:tab w:val="left" w:pos="0"/>
          <w:tab w:val="left" w:pos="142"/>
          <w:tab w:val="left" w:pos="284"/>
          <w:tab w:val="left" w:pos="10680"/>
        </w:tabs>
        <w:spacing w:after="0" w:line="240" w:lineRule="auto"/>
        <w:ind w:firstLine="567"/>
        <w:rPr>
          <w:rFonts w:ascii="Calibri" w:eastAsia="Arial Unicode MS" w:hAnsi="Calibri" w:cs="Arial Unicode MS"/>
          <w:sz w:val="24"/>
          <w:szCs w:val="24"/>
          <w:lang w:eastAsia="hr-HR"/>
        </w:rPr>
      </w:pPr>
    </w:p>
    <w:p w:rsidR="006474B8" w:rsidRPr="006474B8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URED RAVNATELJA</w:t>
      </w:r>
    </w:p>
    <w:p w:rsidR="006474B8" w:rsidRPr="006474B8" w:rsidRDefault="006474B8" w:rsidP="0096236E">
      <w:pPr>
        <w:tabs>
          <w:tab w:val="left" w:pos="0"/>
        </w:tabs>
        <w:spacing w:after="0" w:line="240" w:lineRule="auto"/>
        <w:ind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:rsidR="006474B8" w:rsidRPr="006474B8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 xml:space="preserve"> SLUŽBA ZAŠTITE, ODRŽAVANJA, OČUVANJA, PROMICANJA I KORIŠTENJA</w:t>
      </w:r>
    </w:p>
    <w:p w:rsidR="006474B8" w:rsidRPr="006474B8" w:rsidRDefault="006474B8" w:rsidP="0096236E">
      <w:pPr>
        <w:tabs>
          <w:tab w:val="left" w:pos="0"/>
        </w:tabs>
        <w:spacing w:after="0" w:line="240" w:lineRule="auto"/>
        <w:ind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 xml:space="preserve">            NACIONALNOG PARKA</w:t>
      </w:r>
    </w:p>
    <w:p w:rsidR="006474B8" w:rsidRPr="006474B8" w:rsidRDefault="006474B8" w:rsidP="0096236E">
      <w:pPr>
        <w:tabs>
          <w:tab w:val="left" w:pos="0"/>
          <w:tab w:val="num" w:pos="1440"/>
          <w:tab w:val="left" w:pos="10440"/>
        </w:tabs>
        <w:spacing w:after="0" w:line="240" w:lineRule="auto"/>
        <w:ind w:right="720" w:firstLine="284"/>
        <w:rPr>
          <w:rFonts w:ascii="Calibri" w:eastAsia="Arial Unicode MS" w:hAnsi="Calibri" w:cs="Arial Unicode MS"/>
          <w:sz w:val="24"/>
          <w:szCs w:val="24"/>
          <w:lang w:eastAsia="hr-HR"/>
        </w:rPr>
      </w:pPr>
    </w:p>
    <w:p w:rsidR="006474B8" w:rsidRPr="006474B8" w:rsidRDefault="006474B8" w:rsidP="0096236E">
      <w:pPr>
        <w:tabs>
          <w:tab w:val="left" w:pos="0"/>
          <w:tab w:val="left" w:pos="10440"/>
        </w:tabs>
        <w:spacing w:after="0" w:line="240" w:lineRule="auto"/>
        <w:ind w:firstLine="567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Služba zaštite, održavanja, promicanja i korištenja Nacionalnog parka obavlja stručne poslove ekološke zaštite eko-sustava (vode sa sedrenim tvorevinama i sedro tvorcima, šume, travnjačkih površina) kao temeljnih čimbenika biodinamike Nacionalnog parka, poslove izrade godišnjih i višegodišnjih programa zaštite, održavanja, promicanja i korištenja Nacionalnog parka, poslove organizacije znanstvenih i stručnih praćenja i prezentacije osnovnog fenomena Parka, kao i ostalih komponenti prirodnog i kulturnog nasljeđa u Parku.</w:t>
      </w:r>
    </w:p>
    <w:p w:rsidR="006474B8" w:rsidRPr="006474B8" w:rsidRDefault="006474B8" w:rsidP="0096236E">
      <w:pPr>
        <w:tabs>
          <w:tab w:val="left" w:pos="0"/>
        </w:tabs>
        <w:spacing w:after="0" w:line="240" w:lineRule="auto"/>
        <w:ind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ZNANSTVENO STRUČNI CENTAR „DR. IVO PEVALEK“</w:t>
      </w:r>
    </w:p>
    <w:p w:rsidR="006474B8" w:rsidRPr="006474B8" w:rsidRDefault="006474B8" w:rsidP="0096236E">
      <w:pPr>
        <w:numPr>
          <w:ilvl w:val="0"/>
          <w:numId w:val="1"/>
        </w:numPr>
        <w:tabs>
          <w:tab w:val="clear" w:pos="1668"/>
          <w:tab w:val="num" w:pos="-2421"/>
          <w:tab w:val="left" w:pos="0"/>
          <w:tab w:val="left" w:pos="10440"/>
        </w:tabs>
        <w:spacing w:after="0" w:line="240" w:lineRule="auto"/>
        <w:ind w:left="828" w:right="720" w:firstLine="284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Odsjek za ekologiju voda</w:t>
      </w:r>
    </w:p>
    <w:p w:rsidR="006474B8" w:rsidRPr="006474B8" w:rsidRDefault="006474B8" w:rsidP="0096236E">
      <w:pPr>
        <w:numPr>
          <w:ilvl w:val="0"/>
          <w:numId w:val="1"/>
        </w:numPr>
        <w:tabs>
          <w:tab w:val="clear" w:pos="1668"/>
          <w:tab w:val="num" w:pos="-1581"/>
          <w:tab w:val="left" w:pos="0"/>
          <w:tab w:val="left" w:pos="10440"/>
        </w:tabs>
        <w:spacing w:after="0" w:line="240" w:lineRule="auto"/>
        <w:ind w:left="828" w:right="720" w:firstLine="284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Odsjek za ekologiju flore i faune  </w:t>
      </w:r>
    </w:p>
    <w:p w:rsidR="006474B8" w:rsidRPr="006474B8" w:rsidRDefault="006474B8" w:rsidP="0096236E">
      <w:pPr>
        <w:numPr>
          <w:ilvl w:val="0"/>
          <w:numId w:val="1"/>
        </w:numPr>
        <w:tabs>
          <w:tab w:val="clear" w:pos="1668"/>
          <w:tab w:val="num" w:pos="-1308"/>
          <w:tab w:val="left" w:pos="0"/>
          <w:tab w:val="left" w:pos="10440"/>
        </w:tabs>
        <w:spacing w:after="0" w:line="240" w:lineRule="auto"/>
        <w:ind w:left="828" w:right="720" w:firstLine="284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Odsjek šumskih ekoloških sustava</w:t>
      </w:r>
    </w:p>
    <w:p w:rsidR="006474B8" w:rsidRPr="006474B8" w:rsidRDefault="006474B8" w:rsidP="0096236E">
      <w:pPr>
        <w:numPr>
          <w:ilvl w:val="0"/>
          <w:numId w:val="1"/>
        </w:numPr>
        <w:tabs>
          <w:tab w:val="clear" w:pos="1668"/>
          <w:tab w:val="num" w:pos="-1035"/>
          <w:tab w:val="left" w:pos="0"/>
          <w:tab w:val="left" w:pos="10440"/>
        </w:tabs>
        <w:spacing w:after="0" w:line="240" w:lineRule="auto"/>
        <w:ind w:left="828" w:right="720" w:firstLine="284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Odsjek za očuvanje kulturne baštine</w:t>
      </w:r>
    </w:p>
    <w:p w:rsidR="006474B8" w:rsidRPr="006474B8" w:rsidRDefault="006474B8" w:rsidP="0096236E">
      <w:pPr>
        <w:numPr>
          <w:ilvl w:val="0"/>
          <w:numId w:val="1"/>
        </w:numPr>
        <w:tabs>
          <w:tab w:val="clear" w:pos="1668"/>
          <w:tab w:val="num" w:pos="-762"/>
          <w:tab w:val="left" w:pos="0"/>
          <w:tab w:val="left" w:pos="10440"/>
        </w:tabs>
        <w:spacing w:after="0" w:line="240" w:lineRule="auto"/>
        <w:ind w:left="828" w:right="720" w:firstLine="284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Odsjek prezentacije Nacionalnog parka</w:t>
      </w:r>
    </w:p>
    <w:p w:rsidR="006474B8" w:rsidRPr="006474B8" w:rsidRDefault="006474B8" w:rsidP="0096236E">
      <w:pPr>
        <w:tabs>
          <w:tab w:val="left" w:pos="0"/>
          <w:tab w:val="left" w:pos="480"/>
          <w:tab w:val="left" w:pos="10440"/>
        </w:tabs>
        <w:spacing w:after="0" w:line="240" w:lineRule="auto"/>
        <w:ind w:right="720"/>
        <w:rPr>
          <w:rFonts w:ascii="Calibri" w:eastAsia="Arial Unicode MS" w:hAnsi="Calibri" w:cs="Arial Unicode MS"/>
          <w:sz w:val="24"/>
          <w:szCs w:val="24"/>
          <w:lang w:eastAsia="hr-HR"/>
        </w:rPr>
      </w:pP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ZA ODRŽAVANJE INFRASTRUKTURE I HORTIKULTURE</w:t>
      </w:r>
    </w:p>
    <w:p w:rsidR="006474B8" w:rsidRPr="006474B8" w:rsidRDefault="006474B8" w:rsidP="0096236E">
      <w:pPr>
        <w:numPr>
          <w:ilvl w:val="0"/>
          <w:numId w:val="1"/>
        </w:numPr>
        <w:tabs>
          <w:tab w:val="clear" w:pos="1668"/>
          <w:tab w:val="num" w:pos="-489"/>
          <w:tab w:val="left" w:pos="0"/>
          <w:tab w:val="left" w:pos="10440"/>
        </w:tabs>
        <w:spacing w:after="0" w:line="240" w:lineRule="auto"/>
        <w:ind w:left="828" w:right="720" w:firstLine="284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Odsjek za održavanje staza i mostića</w:t>
      </w:r>
    </w:p>
    <w:p w:rsidR="006474B8" w:rsidRPr="006474B8" w:rsidRDefault="006474B8" w:rsidP="0096236E">
      <w:pPr>
        <w:numPr>
          <w:ilvl w:val="0"/>
          <w:numId w:val="1"/>
        </w:numPr>
        <w:tabs>
          <w:tab w:val="clear" w:pos="1668"/>
          <w:tab w:val="num" w:pos="-216"/>
          <w:tab w:val="left" w:pos="0"/>
          <w:tab w:val="left" w:pos="10440"/>
        </w:tabs>
        <w:spacing w:after="0" w:line="240" w:lineRule="auto"/>
        <w:ind w:left="828" w:right="720" w:firstLine="284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Odsjek za održavanje travnjačkih površina</w:t>
      </w:r>
    </w:p>
    <w:p w:rsidR="006474B8" w:rsidRPr="006474B8" w:rsidRDefault="006474B8" w:rsidP="0096236E">
      <w:pPr>
        <w:numPr>
          <w:ilvl w:val="0"/>
          <w:numId w:val="1"/>
        </w:numPr>
        <w:tabs>
          <w:tab w:val="clear" w:pos="1668"/>
          <w:tab w:val="left" w:pos="0"/>
          <w:tab w:val="num" w:pos="57"/>
          <w:tab w:val="left" w:pos="10440"/>
        </w:tabs>
        <w:spacing w:after="0" w:line="240" w:lineRule="auto"/>
        <w:ind w:left="828" w:right="720" w:firstLine="284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Odsjek za održavanje parkovske čistoće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NADZORA, ZAŠTITE I ČUVANJA NACIONALNOG PARKA</w:t>
      </w:r>
    </w:p>
    <w:p w:rsidR="006474B8" w:rsidRPr="006474B8" w:rsidRDefault="006474B8" w:rsidP="0096236E">
      <w:pPr>
        <w:tabs>
          <w:tab w:val="left" w:pos="0"/>
        </w:tabs>
        <w:spacing w:after="0" w:line="240" w:lineRule="auto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:rsidR="006474B8" w:rsidRPr="006474B8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SLUŽBA MARKETINGA I PRODAJE  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MARKETING I PRODAJA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PREDSTAVNIŠTVO ZAGREB</w:t>
      </w:r>
    </w:p>
    <w:p w:rsidR="006474B8" w:rsidRPr="006474B8" w:rsidRDefault="006474B8" w:rsidP="0096236E">
      <w:pPr>
        <w:tabs>
          <w:tab w:val="left" w:pos="0"/>
        </w:tabs>
        <w:spacing w:after="0" w:line="240" w:lineRule="auto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:rsidR="006474B8" w:rsidRPr="006474B8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SLUŽBA PRIHVATA, VOĐENJA, INFORMIRANJA, PRIJEVOZA</w:t>
      </w:r>
    </w:p>
    <w:p w:rsidR="006474B8" w:rsidRPr="006474B8" w:rsidRDefault="006474B8" w:rsidP="0096236E">
      <w:pPr>
        <w:tabs>
          <w:tab w:val="left" w:pos="0"/>
        </w:tabs>
        <w:spacing w:after="0" w:line="240" w:lineRule="auto"/>
        <w:ind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   POSJETITELJA I INTERNOG TRANSPORTA</w:t>
      </w:r>
    </w:p>
    <w:p w:rsidR="006474B8" w:rsidRPr="006474B8" w:rsidRDefault="006474B8" w:rsidP="0096236E">
      <w:pPr>
        <w:tabs>
          <w:tab w:val="left" w:pos="0"/>
          <w:tab w:val="left" w:pos="10440"/>
        </w:tabs>
        <w:spacing w:after="0" w:line="240" w:lineRule="auto"/>
        <w:ind w:firstLine="567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Služba prihvata, vođenja, informiranja, prijevoza posjetitelja i internog transporta ostvaruje prihod prodajom ulaznica, pružanjem usluga vođenja te obavljanjem mjenjačkih poslova.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PRIHVATA, VOĐENJA I INFORMIRANJA POSJETITELJA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PRIJEVOZA POSJETITELJA I INTERNOG TRANSPORTA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SPORTSKO REKREACIJSKI CENTAR</w:t>
      </w:r>
    </w:p>
    <w:p w:rsidR="006474B8" w:rsidRPr="006474B8" w:rsidRDefault="006474B8" w:rsidP="0096236E">
      <w:pPr>
        <w:tabs>
          <w:tab w:val="left" w:pos="0"/>
        </w:tabs>
        <w:spacing w:after="0" w:line="240" w:lineRule="auto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:rsidR="006474B8" w:rsidRPr="006474B8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SLUŽBA EKONOMSKO- FINANCIJSKIH POSLOVA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FINANCIJA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RAČUNOVODSTVA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PLANA I ANALIZE</w:t>
      </w:r>
    </w:p>
    <w:p w:rsidR="006474B8" w:rsidRPr="006474B8" w:rsidRDefault="006474B8" w:rsidP="0096236E">
      <w:pPr>
        <w:tabs>
          <w:tab w:val="left" w:pos="0"/>
        </w:tabs>
        <w:spacing w:after="0" w:line="240" w:lineRule="auto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:rsidR="006474B8" w:rsidRPr="006474B8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SLUŽBA ZAJEDNIČKIH POSLOVA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PRAVNIH, KADROVSKIH I OPĆIH POSLOVA</w:t>
      </w:r>
    </w:p>
    <w:p w:rsidR="006474B8" w:rsidRPr="006474B8" w:rsidRDefault="006474B8" w:rsidP="0096236E">
      <w:pPr>
        <w:numPr>
          <w:ilvl w:val="0"/>
          <w:numId w:val="1"/>
        </w:numPr>
        <w:tabs>
          <w:tab w:val="clear" w:pos="1668"/>
          <w:tab w:val="num" w:pos="-93"/>
          <w:tab w:val="left" w:pos="0"/>
          <w:tab w:val="left" w:pos="10440"/>
        </w:tabs>
        <w:spacing w:after="0" w:line="240" w:lineRule="auto"/>
        <w:ind w:left="828" w:right="720" w:firstLine="284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Odsjek zaštite na radu</w:t>
      </w:r>
    </w:p>
    <w:p w:rsidR="006474B8" w:rsidRPr="006474B8" w:rsidRDefault="006474B8" w:rsidP="0096236E">
      <w:pPr>
        <w:numPr>
          <w:ilvl w:val="0"/>
          <w:numId w:val="1"/>
        </w:numPr>
        <w:tabs>
          <w:tab w:val="clear" w:pos="1668"/>
          <w:tab w:val="left" w:pos="0"/>
          <w:tab w:val="num" w:pos="180"/>
          <w:tab w:val="left" w:pos="10440"/>
        </w:tabs>
        <w:spacing w:after="0" w:line="240" w:lineRule="auto"/>
        <w:ind w:left="828" w:right="720" w:firstLine="284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Odsjek protupožarne zaštite</w:t>
      </w:r>
    </w:p>
    <w:p w:rsidR="006474B8" w:rsidRPr="006474B8" w:rsidRDefault="006474B8" w:rsidP="0096236E">
      <w:pPr>
        <w:numPr>
          <w:ilvl w:val="0"/>
          <w:numId w:val="1"/>
        </w:numPr>
        <w:tabs>
          <w:tab w:val="clear" w:pos="1668"/>
          <w:tab w:val="left" w:pos="0"/>
          <w:tab w:val="num" w:pos="453"/>
          <w:tab w:val="left" w:pos="480"/>
          <w:tab w:val="left" w:pos="10440"/>
        </w:tabs>
        <w:spacing w:after="0" w:line="240" w:lineRule="auto"/>
        <w:ind w:left="828" w:right="720" w:firstLine="284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Odsjek zaštite imovine- čuvari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INTERNE KONTROLE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NABAVE I SKLARIŠTA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INFORMATIKE I TELEKOMUNIKACIJA</w:t>
      </w:r>
    </w:p>
    <w:p w:rsidR="006474B8" w:rsidRPr="006474B8" w:rsidRDefault="006474B8" w:rsidP="0096236E">
      <w:pPr>
        <w:tabs>
          <w:tab w:val="left" w:pos="0"/>
        </w:tabs>
        <w:spacing w:after="0" w:line="240" w:lineRule="auto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:rsidR="006474B8" w:rsidRPr="006474B8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PODRUŽNICA HOTELIJERSTVA I UGOSTITELJSTVA  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HOTEL „JEZERO“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HOTELI „PLITVICE“ I „BELLEVUE“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 xml:space="preserve">RESTORAN „POLJANA“ I MALI PARKOVSKI OBJEKTI 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 xml:space="preserve">CAFFE BAR  „RAPAJINKA“,  BISTRO „HLADOVINA“, CAFFE BAR „FLORA“, 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BUFFET „LABUDOVAC“, BUFFET „KUPALIŠTE“, BISTRO „KOZJAČKA DRAGA“)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RESTORAN I KAMP „BORJE“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RESTORAN „LIČKA KUĆA“- BUFFET „SLAP“- BISTRO „VUČNICA“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HOTEL „GRABOVAC“ I KAMP „KORANA“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PRAONICA RUBLJA</w:t>
      </w:r>
    </w:p>
    <w:p w:rsidR="006474B8" w:rsidRPr="006474B8" w:rsidRDefault="006474B8" w:rsidP="0096236E">
      <w:pPr>
        <w:tabs>
          <w:tab w:val="left" w:pos="0"/>
        </w:tabs>
        <w:spacing w:after="0" w:line="240" w:lineRule="auto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:rsidR="006474B8" w:rsidRPr="006474B8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PODRUŽNICA ODRŽAVANJA TEHNIKE I KOMUNALNE INFRASTRUKTURE 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TEHNIČKE OPERATIVE</w:t>
      </w:r>
    </w:p>
    <w:p w:rsidR="006474B8" w:rsidRPr="006474B8" w:rsidRDefault="006474B8" w:rsidP="0096236E">
      <w:pPr>
        <w:numPr>
          <w:ilvl w:val="0"/>
          <w:numId w:val="1"/>
        </w:numPr>
        <w:tabs>
          <w:tab w:val="clear" w:pos="1668"/>
          <w:tab w:val="num" w:pos="21"/>
          <w:tab w:val="left" w:pos="480"/>
          <w:tab w:val="left" w:pos="10440"/>
        </w:tabs>
        <w:spacing w:after="0" w:line="240" w:lineRule="auto"/>
        <w:ind w:left="828" w:right="720" w:firstLine="284"/>
        <w:rPr>
          <w:rFonts w:ascii="Calibri" w:eastAsia="Arial Unicode MS" w:hAnsi="Calibri" w:cs="Arial Unicode MS"/>
          <w:sz w:val="24"/>
          <w:szCs w:val="24"/>
          <w:lang w:eastAsia="hr-HR"/>
        </w:rPr>
        <w:sectPr w:rsidR="006474B8" w:rsidRPr="006474B8" w:rsidSect="006474B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474B8" w:rsidRPr="006474B8" w:rsidRDefault="006474B8" w:rsidP="0096236E">
      <w:pPr>
        <w:numPr>
          <w:ilvl w:val="0"/>
          <w:numId w:val="1"/>
        </w:numPr>
        <w:tabs>
          <w:tab w:val="clear" w:pos="1668"/>
          <w:tab w:val="left" w:pos="0"/>
          <w:tab w:val="num" w:pos="294"/>
          <w:tab w:val="left" w:pos="480"/>
          <w:tab w:val="left" w:pos="10440"/>
        </w:tabs>
        <w:spacing w:after="0" w:line="240" w:lineRule="auto"/>
        <w:ind w:left="828" w:right="90" w:firstLine="284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Odsjek tehničkog održavanja</w:t>
      </w:r>
    </w:p>
    <w:p w:rsidR="006474B8" w:rsidRPr="006474B8" w:rsidRDefault="006474B8" w:rsidP="0096236E">
      <w:pPr>
        <w:numPr>
          <w:ilvl w:val="0"/>
          <w:numId w:val="1"/>
        </w:numPr>
        <w:tabs>
          <w:tab w:val="clear" w:pos="1668"/>
          <w:tab w:val="left" w:pos="0"/>
          <w:tab w:val="left" w:pos="480"/>
          <w:tab w:val="num" w:pos="567"/>
          <w:tab w:val="left" w:pos="10440"/>
        </w:tabs>
        <w:spacing w:after="0" w:line="240" w:lineRule="auto"/>
        <w:ind w:left="828" w:right="90" w:firstLine="284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Odsjek grijanja i održavanja objekta</w:t>
      </w:r>
    </w:p>
    <w:p w:rsidR="006474B8" w:rsidRPr="006474B8" w:rsidRDefault="006474B8" w:rsidP="0096236E">
      <w:pPr>
        <w:numPr>
          <w:ilvl w:val="0"/>
          <w:numId w:val="1"/>
        </w:numPr>
        <w:tabs>
          <w:tab w:val="clear" w:pos="1668"/>
          <w:tab w:val="left" w:pos="0"/>
          <w:tab w:val="left" w:pos="480"/>
          <w:tab w:val="num" w:pos="840"/>
          <w:tab w:val="left" w:pos="10440"/>
        </w:tabs>
        <w:spacing w:after="0" w:line="240" w:lineRule="auto"/>
        <w:ind w:left="828" w:right="90" w:firstLine="284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Odsjek vodovoda i odvodnje </w:t>
      </w:r>
    </w:p>
    <w:p w:rsidR="006474B8" w:rsidRPr="006474B8" w:rsidRDefault="006474B8" w:rsidP="0096236E">
      <w:pPr>
        <w:numPr>
          <w:ilvl w:val="0"/>
          <w:numId w:val="1"/>
        </w:numPr>
        <w:tabs>
          <w:tab w:val="clear" w:pos="1668"/>
          <w:tab w:val="left" w:pos="0"/>
          <w:tab w:val="left" w:pos="480"/>
          <w:tab w:val="num" w:pos="1113"/>
          <w:tab w:val="left" w:pos="10440"/>
        </w:tabs>
        <w:spacing w:after="0" w:line="240" w:lineRule="auto"/>
        <w:ind w:left="828" w:right="90" w:firstLine="284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Odsjek građevinskog održavanja</w:t>
      </w:r>
    </w:p>
    <w:p w:rsidR="006474B8" w:rsidRPr="006474B8" w:rsidRDefault="006474B8" w:rsidP="0096236E">
      <w:pPr>
        <w:numPr>
          <w:ilvl w:val="0"/>
          <w:numId w:val="1"/>
        </w:numPr>
        <w:tabs>
          <w:tab w:val="clear" w:pos="1668"/>
          <w:tab w:val="left" w:pos="0"/>
          <w:tab w:val="left" w:pos="480"/>
          <w:tab w:val="num" w:pos="1386"/>
          <w:tab w:val="left" w:pos="10440"/>
        </w:tabs>
        <w:spacing w:after="0" w:line="240" w:lineRule="auto"/>
        <w:ind w:left="828" w:right="90" w:firstLine="284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Odsjek stolarije</w:t>
      </w:r>
    </w:p>
    <w:p w:rsidR="006474B8" w:rsidRPr="006474B8" w:rsidRDefault="006474B8" w:rsidP="0096236E">
      <w:pPr>
        <w:tabs>
          <w:tab w:val="left" w:pos="0"/>
          <w:tab w:val="left" w:pos="480"/>
          <w:tab w:val="left" w:pos="10440"/>
        </w:tabs>
        <w:spacing w:after="0" w:line="240" w:lineRule="auto"/>
        <w:ind w:right="90"/>
        <w:rPr>
          <w:rFonts w:ascii="Calibri" w:eastAsia="Arial Unicode MS" w:hAnsi="Calibri" w:cs="Arial Unicode MS"/>
          <w:sz w:val="24"/>
          <w:szCs w:val="24"/>
          <w:lang w:eastAsia="hr-HR"/>
        </w:rPr>
      </w:pPr>
    </w:p>
    <w:p w:rsidR="006474B8" w:rsidRPr="006474B8" w:rsidRDefault="006474B8" w:rsidP="0096236E">
      <w:pPr>
        <w:tabs>
          <w:tab w:val="left" w:pos="0"/>
          <w:tab w:val="left" w:pos="480"/>
          <w:tab w:val="left" w:pos="10440"/>
        </w:tabs>
        <w:spacing w:after="0" w:line="240" w:lineRule="auto"/>
        <w:ind w:right="90"/>
        <w:rPr>
          <w:rFonts w:ascii="Calibri" w:eastAsia="Arial Unicode MS" w:hAnsi="Calibri" w:cs="Arial Unicode MS"/>
          <w:sz w:val="24"/>
          <w:szCs w:val="24"/>
          <w:lang w:eastAsia="hr-HR"/>
        </w:rPr>
        <w:sectPr w:rsidR="006474B8" w:rsidRPr="006474B8" w:rsidSect="009F78BD">
          <w:type w:val="continuous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6474B8" w:rsidRPr="006474B8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>PODRUŽNICA TRGOVINA</w:t>
      </w:r>
    </w:p>
    <w:p w:rsidR="006474B8" w:rsidRPr="006474B8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rPr>
          <w:rFonts w:ascii="Calibri" w:eastAsia="Arial Unicode MS" w:hAnsi="Calibri" w:cs="Arial Unicode MS"/>
          <w:bCs/>
          <w:sz w:val="24"/>
          <w:szCs w:val="24"/>
          <w:lang w:eastAsia="hr-HR"/>
        </w:rPr>
        <w:sectPr w:rsidR="006474B8" w:rsidRPr="006474B8" w:rsidSect="009F78BD">
          <w:type w:val="continuous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Trgovina “Robni centar Mukinje”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Trgovina „Hladovina“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Trgovina “Jezerce“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Trgovina “Grabovac”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Trgovina „Korana“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Trgovina “Borje”</w:t>
      </w:r>
    </w:p>
    <w:p w:rsidR="006474B8" w:rsidRPr="006474B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Suvenirnice i vanjska prodaja</w:t>
      </w:r>
    </w:p>
    <w:p w:rsidR="006474B8" w:rsidRPr="006474B8" w:rsidRDefault="006474B8" w:rsidP="0096236E">
      <w:pPr>
        <w:tabs>
          <w:tab w:val="left" w:pos="0"/>
        </w:tabs>
        <w:spacing w:after="0" w:line="240" w:lineRule="auto"/>
        <w:ind w:firstLine="284"/>
        <w:jc w:val="both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</w:p>
    <w:p w:rsidR="006474B8" w:rsidRPr="006474B8" w:rsidRDefault="006474B8" w:rsidP="006474B8">
      <w:pPr>
        <w:tabs>
          <w:tab w:val="left" w:pos="0"/>
        </w:tabs>
        <w:spacing w:after="0" w:line="240" w:lineRule="auto"/>
        <w:ind w:firstLine="284"/>
        <w:jc w:val="both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sectPr w:rsidR="006474B8" w:rsidRPr="006474B8" w:rsidSect="009F78BD">
          <w:type w:val="continuous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6474B8" w:rsidRPr="006474B8" w:rsidRDefault="006474B8" w:rsidP="006474B8">
      <w:pPr>
        <w:tabs>
          <w:tab w:val="left" w:pos="0"/>
        </w:tabs>
        <w:spacing w:after="0" w:line="240" w:lineRule="auto"/>
        <w:ind w:firstLine="284"/>
        <w:jc w:val="both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>UPRAVA JAVNE USTANOVE NACIONALNI PARK PLITVIČKA JEZERA</w:t>
      </w:r>
    </w:p>
    <w:p w:rsidR="006474B8" w:rsidRPr="006474B8" w:rsidRDefault="006474B8" w:rsidP="006474B8">
      <w:pPr>
        <w:tabs>
          <w:tab w:val="left" w:pos="0"/>
        </w:tabs>
        <w:spacing w:after="0" w:line="240" w:lineRule="auto"/>
        <w:ind w:firstLine="284"/>
        <w:jc w:val="both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</w:p>
    <w:p w:rsidR="006474B8" w:rsidRPr="006474B8" w:rsidRDefault="006474B8" w:rsidP="006474B8">
      <w:pPr>
        <w:tabs>
          <w:tab w:val="left" w:pos="0"/>
        </w:tabs>
        <w:spacing w:after="0" w:line="240" w:lineRule="auto"/>
        <w:ind w:firstLine="284"/>
        <w:jc w:val="both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>UPRAVNO VIJEĆE</w:t>
      </w:r>
    </w:p>
    <w:p w:rsidR="006474B8" w:rsidRPr="006474B8" w:rsidRDefault="006474B8" w:rsidP="006474B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Upravno vijeće Ustanove imenuje Vlada Republike Hrvatske.</w:t>
      </w:r>
    </w:p>
    <w:p w:rsidR="006474B8" w:rsidRPr="006474B8" w:rsidRDefault="006474B8" w:rsidP="006474B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</w:p>
    <w:p w:rsidR="006474B8" w:rsidRPr="006474B8" w:rsidRDefault="006474B8" w:rsidP="006474B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Predsjednik upravnog vijeća je:  Igor Kreitmeyer,</w:t>
      </w:r>
    </w:p>
    <w:p w:rsidR="006474B8" w:rsidRPr="006474B8" w:rsidRDefault="006474B8" w:rsidP="006474B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Članovi upravnog vijeća su: </w:t>
      </w:r>
    </w:p>
    <w:p w:rsidR="006474B8" w:rsidRPr="006474B8" w:rsidRDefault="006474B8" w:rsidP="006474B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-  Ivana Sabljić  </w:t>
      </w:r>
    </w:p>
    <w:p w:rsidR="006474B8" w:rsidRPr="006474B8" w:rsidRDefault="006474B8" w:rsidP="006474B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-  Branislav Šutić, dr.sc.</w:t>
      </w:r>
    </w:p>
    <w:p w:rsidR="006474B8" w:rsidRPr="006474B8" w:rsidRDefault="006474B8" w:rsidP="006474B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-  Tihana Oštrina</w:t>
      </w:r>
    </w:p>
    <w:p w:rsidR="006474B8" w:rsidRPr="006474B8" w:rsidRDefault="006474B8" w:rsidP="006474B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6474B8">
        <w:rPr>
          <w:rFonts w:ascii="Calibri" w:eastAsia="Arial Unicode MS" w:hAnsi="Calibri" w:cs="Arial Unicode MS"/>
          <w:sz w:val="24"/>
          <w:szCs w:val="24"/>
          <w:lang w:eastAsia="hr-HR"/>
        </w:rPr>
        <w:t>-  Ante Bionda.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Pregled ostvarenih rezultata poslovanja Javne ustanove „Nacionalni park Plitvička Jezera“ za razdoblje od siječnja do prosinca 201</w:t>
      </w:r>
      <w:r w:rsidR="0096236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godine iskazan je u nastavku  Bilješki uz financijske izvještaje. 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BILJEŠKE UZ FINANCIJSKE IZVJEŠTAJE</w:t>
      </w:r>
    </w:p>
    <w:p w:rsidR="006474B8" w:rsidRPr="006474B8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JAVNE USTANOVE „NACIONALNI PARK PLITVIČKA JEZERA“</w:t>
      </w:r>
    </w:p>
    <w:p w:rsidR="006474B8" w:rsidRPr="006474B8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ZA RAZDOBLJE SIJEČANJ - PROSINAC 201</w:t>
      </w:r>
      <w:r w:rsidR="009F78BD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9</w:t>
      </w: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 xml:space="preserve">. GODINE </w:t>
      </w:r>
    </w:p>
    <w:p w:rsidR="006474B8" w:rsidRPr="006474B8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C74D49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  <w:r w:rsidRPr="00C74D49">
        <w:rPr>
          <w:rFonts w:ascii="Calibri" w:eastAsia="Times New Roman" w:hAnsi="Calibri" w:cs="Times New Roman"/>
          <w:b/>
          <w:i/>
          <w:noProof/>
          <w:sz w:val="26"/>
          <w:szCs w:val="26"/>
          <w:bdr w:val="single" w:sz="4" w:space="0" w:color="auto"/>
          <w:lang w:eastAsia="hr-HR"/>
        </w:rPr>
        <w:t>Bilješka br. 1.:  Osnova sastavljanja bilješki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Financijski izvještaji Ustanove za razdoblje od siječnja do prosinca 201</w:t>
      </w:r>
      <w:r w:rsidR="009F78B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9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 godinu sačinjeni su sukladno odredbama Pravilnika o proračunskom računovodstvu i Računskom planu te Pravilnika o financijskom izvještavanju u proračunskom računovodstvu.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6"/>
          <w:szCs w:val="26"/>
          <w:bdr w:val="single" w:sz="4" w:space="0" w:color="auto"/>
          <w:lang w:eastAsia="hr-HR"/>
        </w:rPr>
        <w:t>Bilješka br. 2.:  Bilješke uz Izvještaj o prihodima i rashodima</w:t>
      </w:r>
      <w:r w:rsidRPr="006474B8"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  <w:t xml:space="preserve"> 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</w:p>
    <w:p w:rsidR="006474B8" w:rsidRPr="006474B8" w:rsidRDefault="00691CFA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  <w:t xml:space="preserve">Bilješka br. 2.1..  </w:t>
      </w:r>
      <w:r w:rsidR="006474B8" w:rsidRPr="006474B8"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  <w:t>Prihodi poslovanja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6"/>
          <w:szCs w:val="26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U financijskim izvještajima JU NP Plitvička jezera prihodi poslovanja su, sukladno članku 20. Pravilnika o proračunskom računovodstvu i Računskom planu, priznati temeljem modificiranog načela nastanka događaja u onom izvještajnom razdoblju u kojem su postali raspoloživi i mjerljivi.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U razdoblju od siječnja do prosinca 201</w:t>
      </w:r>
      <w:r w:rsidR="009F78B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9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 godine ostvarena je slijedeća struktura prihoda poslovanja: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tbl>
      <w:tblPr>
        <w:tblW w:w="90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41"/>
        <w:gridCol w:w="3668"/>
        <w:gridCol w:w="1551"/>
        <w:gridCol w:w="1685"/>
        <w:gridCol w:w="1222"/>
      </w:tblGrid>
      <w:tr w:rsidR="006474B8" w:rsidRPr="00B4289C" w:rsidTr="00826407">
        <w:tc>
          <w:tcPr>
            <w:tcW w:w="941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</w:tcPr>
          <w:p w:rsidR="006474B8" w:rsidRPr="00B4289C" w:rsidRDefault="006474B8" w:rsidP="00647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B4289C"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AOP</w:t>
            </w:r>
          </w:p>
        </w:tc>
        <w:tc>
          <w:tcPr>
            <w:tcW w:w="3668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</w:tcPr>
          <w:p w:rsidR="006474B8" w:rsidRPr="00B4289C" w:rsidRDefault="006474B8" w:rsidP="00647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B4289C"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NAZIV STAVKE</w:t>
            </w:r>
          </w:p>
        </w:tc>
        <w:tc>
          <w:tcPr>
            <w:tcW w:w="1551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</w:tcPr>
          <w:p w:rsidR="006474B8" w:rsidRPr="00B4289C" w:rsidRDefault="006474B8" w:rsidP="00647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B4289C"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IZNOS/2017</w:t>
            </w:r>
          </w:p>
        </w:tc>
        <w:tc>
          <w:tcPr>
            <w:tcW w:w="1685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</w:tcPr>
          <w:p w:rsidR="006474B8" w:rsidRPr="00B4289C" w:rsidRDefault="006474B8" w:rsidP="00647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B4289C"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IZNOS/2018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</w:tcPr>
          <w:p w:rsidR="006474B8" w:rsidRPr="00B4289C" w:rsidRDefault="00826407" w:rsidP="00647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B4289C"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%</w:t>
            </w:r>
          </w:p>
        </w:tc>
      </w:tr>
      <w:tr w:rsidR="006474B8" w:rsidRPr="006474B8" w:rsidTr="00826407">
        <w:tc>
          <w:tcPr>
            <w:tcW w:w="94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70AD47"/>
          </w:tcPr>
          <w:p w:rsidR="006474B8" w:rsidRPr="00B4289C" w:rsidRDefault="006474B8" w:rsidP="00647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B4289C"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1.</w:t>
            </w:r>
          </w:p>
        </w:tc>
        <w:tc>
          <w:tcPr>
            <w:tcW w:w="3668" w:type="dxa"/>
            <w:shd w:val="clear" w:color="auto" w:fill="C5E0B3"/>
          </w:tcPr>
          <w:p w:rsidR="006474B8" w:rsidRPr="006474B8" w:rsidRDefault="006474B8" w:rsidP="00647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2.</w:t>
            </w:r>
          </w:p>
        </w:tc>
        <w:tc>
          <w:tcPr>
            <w:tcW w:w="1551" w:type="dxa"/>
            <w:shd w:val="clear" w:color="auto" w:fill="C5E0B3"/>
          </w:tcPr>
          <w:p w:rsidR="006474B8" w:rsidRPr="006474B8" w:rsidRDefault="006474B8" w:rsidP="00647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3.</w:t>
            </w:r>
          </w:p>
        </w:tc>
        <w:tc>
          <w:tcPr>
            <w:tcW w:w="1685" w:type="dxa"/>
            <w:shd w:val="clear" w:color="auto" w:fill="C5E0B3"/>
          </w:tcPr>
          <w:p w:rsidR="006474B8" w:rsidRPr="006474B8" w:rsidRDefault="006474B8" w:rsidP="00647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4.</w:t>
            </w:r>
          </w:p>
        </w:tc>
        <w:tc>
          <w:tcPr>
            <w:tcW w:w="1222" w:type="dxa"/>
            <w:shd w:val="clear" w:color="auto" w:fill="C5E0B3"/>
          </w:tcPr>
          <w:p w:rsidR="006474B8" w:rsidRPr="006474B8" w:rsidRDefault="006474B8" w:rsidP="00647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5.</w:t>
            </w:r>
          </w:p>
        </w:tc>
      </w:tr>
      <w:tr w:rsidR="006474B8" w:rsidRPr="006474B8" w:rsidTr="00826407">
        <w:trPr>
          <w:trHeight w:val="76"/>
        </w:trPr>
        <w:tc>
          <w:tcPr>
            <w:tcW w:w="941" w:type="dxa"/>
            <w:tcBorders>
              <w:left w:val="single" w:sz="4" w:space="0" w:color="FFFFFF"/>
            </w:tcBorders>
            <w:shd w:val="clear" w:color="auto" w:fill="70AD47"/>
          </w:tcPr>
          <w:p w:rsidR="006474B8" w:rsidRPr="00B4289C" w:rsidRDefault="006474B8" w:rsidP="00647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</w:p>
        </w:tc>
        <w:tc>
          <w:tcPr>
            <w:tcW w:w="3668" w:type="dxa"/>
            <w:shd w:val="clear" w:color="auto" w:fill="E2EFD9"/>
          </w:tcPr>
          <w:p w:rsidR="006474B8" w:rsidRPr="006474B8" w:rsidRDefault="006474B8" w:rsidP="006474B8">
            <w:pPr>
              <w:spacing w:after="0" w:line="240" w:lineRule="auto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551" w:type="dxa"/>
            <w:shd w:val="clear" w:color="auto" w:fill="E2EFD9"/>
          </w:tcPr>
          <w:p w:rsidR="006474B8" w:rsidRPr="006474B8" w:rsidRDefault="006474B8" w:rsidP="00647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685" w:type="dxa"/>
            <w:shd w:val="clear" w:color="auto" w:fill="E2EFD9"/>
          </w:tcPr>
          <w:p w:rsidR="006474B8" w:rsidRPr="006474B8" w:rsidRDefault="006474B8" w:rsidP="00647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222" w:type="dxa"/>
            <w:shd w:val="clear" w:color="auto" w:fill="E2EFD9"/>
          </w:tcPr>
          <w:p w:rsidR="006474B8" w:rsidRPr="006474B8" w:rsidRDefault="006474B8" w:rsidP="00647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</w:p>
        </w:tc>
      </w:tr>
      <w:tr w:rsidR="009F78BD" w:rsidRPr="006474B8" w:rsidTr="00826407">
        <w:tc>
          <w:tcPr>
            <w:tcW w:w="941" w:type="dxa"/>
            <w:tcBorders>
              <w:left w:val="single" w:sz="4" w:space="0" w:color="FFFFFF"/>
            </w:tcBorders>
            <w:shd w:val="clear" w:color="auto" w:fill="70AD47"/>
          </w:tcPr>
          <w:p w:rsidR="009F78BD" w:rsidRPr="00B4289C" w:rsidRDefault="009F78BD" w:rsidP="009F7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B4289C"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045</w:t>
            </w:r>
          </w:p>
        </w:tc>
        <w:tc>
          <w:tcPr>
            <w:tcW w:w="3668" w:type="dxa"/>
            <w:shd w:val="clear" w:color="auto" w:fill="C5E0B3"/>
          </w:tcPr>
          <w:p w:rsidR="009F78BD" w:rsidRPr="006474B8" w:rsidRDefault="009F78BD" w:rsidP="009F78BD">
            <w:pPr>
              <w:spacing w:after="0" w:line="240" w:lineRule="auto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Pomoć od subjekata unutar općeg proračuna</w:t>
            </w:r>
          </w:p>
        </w:tc>
        <w:tc>
          <w:tcPr>
            <w:tcW w:w="1551" w:type="dxa"/>
            <w:shd w:val="clear" w:color="auto" w:fill="C5E0B3"/>
          </w:tcPr>
          <w:p w:rsidR="009F78BD" w:rsidRPr="006474B8" w:rsidRDefault="009F78BD" w:rsidP="009F7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106.466</w:t>
            </w:r>
          </w:p>
        </w:tc>
        <w:tc>
          <w:tcPr>
            <w:tcW w:w="1685" w:type="dxa"/>
            <w:shd w:val="clear" w:color="auto" w:fill="C5E0B3"/>
          </w:tcPr>
          <w:p w:rsidR="009F78BD" w:rsidRPr="006474B8" w:rsidRDefault="009F78BD" w:rsidP="009F7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53.233</w:t>
            </w:r>
          </w:p>
        </w:tc>
        <w:tc>
          <w:tcPr>
            <w:tcW w:w="1222" w:type="dxa"/>
            <w:shd w:val="clear" w:color="auto" w:fill="C5E0B3"/>
          </w:tcPr>
          <w:p w:rsidR="009F78BD" w:rsidRPr="006474B8" w:rsidRDefault="00826407" w:rsidP="00C66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-50,00</w:t>
            </w:r>
          </w:p>
        </w:tc>
      </w:tr>
      <w:tr w:rsidR="009F78BD" w:rsidRPr="006474B8" w:rsidTr="00826407">
        <w:tc>
          <w:tcPr>
            <w:tcW w:w="941" w:type="dxa"/>
            <w:tcBorders>
              <w:left w:val="single" w:sz="4" w:space="0" w:color="FFFFFF"/>
            </w:tcBorders>
            <w:shd w:val="clear" w:color="auto" w:fill="70AD47"/>
          </w:tcPr>
          <w:p w:rsidR="009F78BD" w:rsidRPr="00B4289C" w:rsidRDefault="009F78BD" w:rsidP="009F7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B4289C"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074</w:t>
            </w:r>
          </w:p>
        </w:tc>
        <w:tc>
          <w:tcPr>
            <w:tcW w:w="3668" w:type="dxa"/>
            <w:shd w:val="clear" w:color="auto" w:fill="E2EFD9"/>
          </w:tcPr>
          <w:p w:rsidR="009F78BD" w:rsidRPr="006474B8" w:rsidRDefault="009F78BD" w:rsidP="00C66B78">
            <w:pPr>
              <w:spacing w:after="0" w:line="240" w:lineRule="auto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Prihodi od imovine</w:t>
            </w:r>
          </w:p>
        </w:tc>
        <w:tc>
          <w:tcPr>
            <w:tcW w:w="1551" w:type="dxa"/>
            <w:shd w:val="clear" w:color="auto" w:fill="E2EFD9"/>
          </w:tcPr>
          <w:p w:rsidR="009F78BD" w:rsidRPr="006474B8" w:rsidRDefault="009F78BD" w:rsidP="009F7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1.161.232</w:t>
            </w:r>
          </w:p>
        </w:tc>
        <w:tc>
          <w:tcPr>
            <w:tcW w:w="1685" w:type="dxa"/>
            <w:shd w:val="clear" w:color="auto" w:fill="E2EFD9"/>
          </w:tcPr>
          <w:p w:rsidR="009F78BD" w:rsidRPr="006474B8" w:rsidRDefault="009F78BD" w:rsidP="009F7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2.302.448</w:t>
            </w:r>
          </w:p>
        </w:tc>
        <w:tc>
          <w:tcPr>
            <w:tcW w:w="1222" w:type="dxa"/>
            <w:shd w:val="clear" w:color="auto" w:fill="E2EFD9"/>
          </w:tcPr>
          <w:p w:rsidR="009F78BD" w:rsidRPr="006474B8" w:rsidRDefault="00826407" w:rsidP="00C66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98,3</w:t>
            </w:r>
          </w:p>
        </w:tc>
      </w:tr>
      <w:tr w:rsidR="009F78BD" w:rsidRPr="006474B8" w:rsidTr="00826407">
        <w:tc>
          <w:tcPr>
            <w:tcW w:w="941" w:type="dxa"/>
            <w:tcBorders>
              <w:left w:val="single" w:sz="4" w:space="0" w:color="FFFFFF"/>
            </w:tcBorders>
            <w:shd w:val="clear" w:color="auto" w:fill="70AD47"/>
          </w:tcPr>
          <w:p w:rsidR="009F78BD" w:rsidRPr="00B4289C" w:rsidRDefault="009F78BD" w:rsidP="009F7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B4289C"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105</w:t>
            </w:r>
          </w:p>
        </w:tc>
        <w:tc>
          <w:tcPr>
            <w:tcW w:w="3668" w:type="dxa"/>
            <w:shd w:val="clear" w:color="auto" w:fill="C5E0B3"/>
          </w:tcPr>
          <w:p w:rsidR="009F78BD" w:rsidRPr="006474B8" w:rsidRDefault="009F78BD" w:rsidP="009F78BD">
            <w:pPr>
              <w:spacing w:after="0" w:line="240" w:lineRule="auto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Prihodi po posebnim propisima</w:t>
            </w:r>
          </w:p>
        </w:tc>
        <w:tc>
          <w:tcPr>
            <w:tcW w:w="1551" w:type="dxa"/>
            <w:shd w:val="clear" w:color="auto" w:fill="C5E0B3"/>
          </w:tcPr>
          <w:p w:rsidR="009F78BD" w:rsidRPr="006474B8" w:rsidRDefault="009F78BD" w:rsidP="009F7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221.519.616</w:t>
            </w:r>
          </w:p>
        </w:tc>
        <w:tc>
          <w:tcPr>
            <w:tcW w:w="1685" w:type="dxa"/>
            <w:shd w:val="clear" w:color="auto" w:fill="C5E0B3"/>
          </w:tcPr>
          <w:p w:rsidR="009F78BD" w:rsidRPr="006474B8" w:rsidRDefault="009F78BD" w:rsidP="009F7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226.524.994</w:t>
            </w:r>
          </w:p>
        </w:tc>
        <w:tc>
          <w:tcPr>
            <w:tcW w:w="1222" w:type="dxa"/>
            <w:shd w:val="clear" w:color="auto" w:fill="C5E0B3"/>
          </w:tcPr>
          <w:p w:rsidR="009F78BD" w:rsidRPr="006474B8" w:rsidRDefault="00C66B78" w:rsidP="00C66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2,3</w:t>
            </w:r>
          </w:p>
        </w:tc>
      </w:tr>
      <w:tr w:rsidR="009F78BD" w:rsidRPr="006474B8" w:rsidTr="00826407">
        <w:tc>
          <w:tcPr>
            <w:tcW w:w="941" w:type="dxa"/>
            <w:tcBorders>
              <w:left w:val="single" w:sz="4" w:space="0" w:color="FFFFFF"/>
            </w:tcBorders>
            <w:shd w:val="clear" w:color="auto" w:fill="70AD47"/>
          </w:tcPr>
          <w:p w:rsidR="009F78BD" w:rsidRPr="00B4289C" w:rsidRDefault="009F78BD" w:rsidP="009F7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B4289C"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123</w:t>
            </w:r>
          </w:p>
        </w:tc>
        <w:tc>
          <w:tcPr>
            <w:tcW w:w="3668" w:type="dxa"/>
            <w:shd w:val="clear" w:color="auto" w:fill="E2EFD9"/>
          </w:tcPr>
          <w:p w:rsidR="009F78BD" w:rsidRPr="006474B8" w:rsidRDefault="009F78BD" w:rsidP="009F78BD">
            <w:pPr>
              <w:spacing w:after="0" w:line="240" w:lineRule="auto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Prihod od prodaje proizvoda i usluga i donacija</w:t>
            </w:r>
          </w:p>
        </w:tc>
        <w:tc>
          <w:tcPr>
            <w:tcW w:w="1551" w:type="dxa"/>
            <w:shd w:val="clear" w:color="auto" w:fill="E2EFD9"/>
          </w:tcPr>
          <w:p w:rsidR="009F78BD" w:rsidRPr="006474B8" w:rsidRDefault="009F78BD" w:rsidP="009F7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163.839.562</w:t>
            </w:r>
          </w:p>
        </w:tc>
        <w:tc>
          <w:tcPr>
            <w:tcW w:w="1685" w:type="dxa"/>
            <w:shd w:val="clear" w:color="auto" w:fill="E2EFD9"/>
          </w:tcPr>
          <w:p w:rsidR="009F78BD" w:rsidRPr="006474B8" w:rsidRDefault="00C66B78" w:rsidP="009F7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171.999.551</w:t>
            </w:r>
          </w:p>
        </w:tc>
        <w:tc>
          <w:tcPr>
            <w:tcW w:w="1222" w:type="dxa"/>
            <w:shd w:val="clear" w:color="auto" w:fill="E2EFD9"/>
          </w:tcPr>
          <w:p w:rsidR="009F78BD" w:rsidRPr="006474B8" w:rsidRDefault="00C66B78" w:rsidP="00C66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5</w:t>
            </w:r>
          </w:p>
        </w:tc>
      </w:tr>
      <w:tr w:rsidR="009F78BD" w:rsidRPr="006474B8" w:rsidTr="00826407">
        <w:tc>
          <w:tcPr>
            <w:tcW w:w="941" w:type="dxa"/>
            <w:tcBorders>
              <w:left w:val="single" w:sz="4" w:space="0" w:color="FFFFFF"/>
            </w:tcBorders>
            <w:shd w:val="clear" w:color="auto" w:fill="70AD47"/>
          </w:tcPr>
          <w:p w:rsidR="009F78BD" w:rsidRPr="00B4289C" w:rsidRDefault="009F78BD" w:rsidP="009F7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B4289C">
              <w:rPr>
                <w:rFonts w:ascii="Calibri" w:eastAsia="Times New Roman" w:hAnsi="Calibri" w:cs="Times New Roman"/>
                <w:b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136</w:t>
            </w:r>
          </w:p>
        </w:tc>
        <w:tc>
          <w:tcPr>
            <w:tcW w:w="3668" w:type="dxa"/>
            <w:shd w:val="clear" w:color="auto" w:fill="C5E0B3"/>
          </w:tcPr>
          <w:p w:rsidR="009F78BD" w:rsidRPr="006474B8" w:rsidRDefault="009F78BD" w:rsidP="009F78BD">
            <w:pPr>
              <w:spacing w:after="0" w:line="240" w:lineRule="auto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551" w:type="dxa"/>
            <w:shd w:val="clear" w:color="auto" w:fill="C5E0B3"/>
          </w:tcPr>
          <w:p w:rsidR="009F78BD" w:rsidRPr="006474B8" w:rsidRDefault="009F78BD" w:rsidP="009F7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758.694</w:t>
            </w:r>
          </w:p>
        </w:tc>
        <w:tc>
          <w:tcPr>
            <w:tcW w:w="1685" w:type="dxa"/>
            <w:shd w:val="clear" w:color="auto" w:fill="C5E0B3"/>
          </w:tcPr>
          <w:p w:rsidR="009F78BD" w:rsidRPr="006474B8" w:rsidRDefault="000D24CE" w:rsidP="009F7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2.356.868</w:t>
            </w:r>
          </w:p>
        </w:tc>
        <w:tc>
          <w:tcPr>
            <w:tcW w:w="1222" w:type="dxa"/>
            <w:shd w:val="clear" w:color="auto" w:fill="C5E0B3"/>
          </w:tcPr>
          <w:p w:rsidR="009F78BD" w:rsidRPr="006474B8" w:rsidRDefault="00C66B78" w:rsidP="00C66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210,6</w:t>
            </w:r>
          </w:p>
        </w:tc>
      </w:tr>
      <w:tr w:rsidR="009F78BD" w:rsidRPr="006474B8" w:rsidTr="00826407">
        <w:tc>
          <w:tcPr>
            <w:tcW w:w="94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</w:tcPr>
          <w:p w:rsidR="009F78BD" w:rsidRPr="006474B8" w:rsidRDefault="009F78BD" w:rsidP="009F7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noProof/>
                <w:color w:val="FFFFFF"/>
                <w:sz w:val="24"/>
                <w:szCs w:val="20"/>
                <w:lang w:eastAsia="hr-HR"/>
              </w:rPr>
            </w:pPr>
          </w:p>
        </w:tc>
        <w:tc>
          <w:tcPr>
            <w:tcW w:w="3668" w:type="dxa"/>
            <w:shd w:val="clear" w:color="auto" w:fill="E2EFD9"/>
          </w:tcPr>
          <w:p w:rsidR="009F78BD" w:rsidRPr="006474B8" w:rsidRDefault="009F78BD" w:rsidP="009F78BD">
            <w:pPr>
              <w:spacing w:after="0" w:line="240" w:lineRule="auto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UKUPNO:</w:t>
            </w:r>
          </w:p>
        </w:tc>
        <w:tc>
          <w:tcPr>
            <w:tcW w:w="1551" w:type="dxa"/>
            <w:shd w:val="clear" w:color="auto" w:fill="E2EFD9"/>
          </w:tcPr>
          <w:p w:rsidR="009F78BD" w:rsidRPr="006474B8" w:rsidRDefault="009F78BD" w:rsidP="009F7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 xml:space="preserve"> </w:t>
            </w: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fldChar w:fldCharType="begin"/>
            </w: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instrText xml:space="preserve"> =SUM(ABOVE) </w:instrText>
            </w: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fldChar w:fldCharType="separate"/>
            </w: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387.385.570</w:t>
            </w: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fldChar w:fldCharType="end"/>
            </w:r>
          </w:p>
        </w:tc>
        <w:tc>
          <w:tcPr>
            <w:tcW w:w="1685" w:type="dxa"/>
            <w:shd w:val="clear" w:color="auto" w:fill="E2EFD9"/>
          </w:tcPr>
          <w:p w:rsidR="009F78BD" w:rsidRPr="006474B8" w:rsidRDefault="000D24CE" w:rsidP="009F7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fldChar w:fldCharType="begin"/>
            </w:r>
            <w:r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fldChar w:fldCharType="separate"/>
            </w:r>
            <w:r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403.214.894</w:t>
            </w:r>
            <w:r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fldChar w:fldCharType="end"/>
            </w:r>
          </w:p>
        </w:tc>
        <w:tc>
          <w:tcPr>
            <w:tcW w:w="1222" w:type="dxa"/>
            <w:shd w:val="clear" w:color="auto" w:fill="E2EFD9"/>
          </w:tcPr>
          <w:p w:rsidR="009F78BD" w:rsidRPr="006474B8" w:rsidRDefault="009F78BD" w:rsidP="00C66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</w:p>
        </w:tc>
      </w:tr>
    </w:tbl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691CFA" w:rsidRDefault="006474B8" w:rsidP="006474B8">
      <w:pPr>
        <w:keepNext/>
        <w:keepLines/>
        <w:spacing w:before="40" w:after="0" w:line="240" w:lineRule="auto"/>
        <w:outlineLvl w:val="3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Pomoći iz inozemstva i od subjekata unutar općeg proračuna</w:t>
      </w:r>
    </w:p>
    <w:p w:rsidR="006474B8" w:rsidRPr="00691CFA" w:rsidRDefault="006474B8" w:rsidP="006474B8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</w:p>
    <w:p w:rsidR="006474B8" w:rsidRPr="00691CFA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Prihodi iskazani na AOP-u 045 u iznosu od </w:t>
      </w:r>
      <w:r w:rsidR="00974460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53.233</w:t>
      </w: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 odnose se na:</w:t>
      </w:r>
    </w:p>
    <w:p w:rsidR="006474B8" w:rsidRPr="00691CFA" w:rsidRDefault="006474B8" w:rsidP="004C05C4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Pr="00691CFA" w:rsidRDefault="006474B8" w:rsidP="006474B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Tekuće pomoći isplaćene od strane Fonda za zaštitu i energetsku učinkovitost u ukupnom iznosu od </w:t>
      </w:r>
      <w:r w:rsidR="00974460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53.233</w:t>
      </w: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  temeljem skopljenog ugovora o neposrednom sufinanciranju poticanja čistijeg transporta „Nabava tri „plu-in“ hibridna vozila“</w:t>
      </w:r>
      <w:r w:rsidR="00974460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</w:t>
      </w:r>
      <w:r w:rsidR="005C270E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Ods</w:t>
      </w:r>
      <w:r w:rsidR="004C05C4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tupanje je visina jednog obroka.</w:t>
      </w:r>
    </w:p>
    <w:p w:rsidR="006474B8" w:rsidRPr="00691CFA" w:rsidRDefault="006474B8" w:rsidP="006474B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Pr="00691CFA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 w:rsidRPr="00691CFA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AOP 074</w:t>
      </w:r>
    </w:p>
    <w:p w:rsidR="006474B8" w:rsidRPr="00691CFA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 w:rsidRPr="00691CFA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Prihodi od imovine</w:t>
      </w:r>
    </w:p>
    <w:p w:rsidR="006474B8" w:rsidRPr="00691CFA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:rsidR="006474B8" w:rsidRPr="00691CFA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Prihodi od imovine iskazani u ukupnom iznosu od </w:t>
      </w:r>
      <w:r w:rsidR="002C601F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2.302.448 </w:t>
      </w: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kn odnose se na sljedeće stavke prihoda:</w:t>
      </w:r>
    </w:p>
    <w:p w:rsidR="006474B8" w:rsidRPr="00691CFA" w:rsidRDefault="006474B8" w:rsidP="006474B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Kamate na depozite po viđenju u iznosu </w:t>
      </w:r>
      <w:r w:rsidR="002C601F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3.07</w:t>
      </w:r>
      <w:r w:rsidR="00F27449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5</w:t>
      </w: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</w:t>
      </w:r>
    </w:p>
    <w:p w:rsidR="006474B8" w:rsidRPr="00691CFA" w:rsidRDefault="006474B8" w:rsidP="006474B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Zatezne kamate iz obveznih odnosa </w:t>
      </w:r>
      <w:r w:rsidR="002C601F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180.79</w:t>
      </w:r>
      <w:r w:rsidR="00F27449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5</w:t>
      </w:r>
      <w:r w:rsidR="00C66B78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kn</w:t>
      </w:r>
    </w:p>
    <w:p w:rsidR="006474B8" w:rsidRPr="00691CFA" w:rsidRDefault="006474B8" w:rsidP="006474B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Prihodi od pozitivnih tečajnih razlika u iznosu od </w:t>
      </w:r>
      <w:r w:rsidR="00F27449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2.118.578</w:t>
      </w: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</w:t>
      </w:r>
    </w:p>
    <w:p w:rsidR="006474B8" w:rsidRPr="00691CFA" w:rsidRDefault="006474B8" w:rsidP="006474B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4C05C4" w:rsidRPr="00691CFA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 okviru AOP –a 074 iskazano je ukupno odstupanje odnosno </w:t>
      </w:r>
      <w:r w:rsidR="00F27449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povrećanje</w:t>
      </w: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prihoda od </w:t>
      </w:r>
      <w:r w:rsidR="00C66B78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98,3</w:t>
      </w:r>
      <w:r w:rsidR="00F27449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% </w:t>
      </w:r>
      <w:r w:rsidR="004C05C4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</w:t>
      </w: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 </w:t>
      </w:r>
      <w:r w:rsidR="004C05C4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Povećenje ove stavke prihoda je u nstalo obračunkom stavkom – obračua pozitivnih tečajnih razlika,</w:t>
      </w:r>
    </w:p>
    <w:p w:rsidR="006474B8" w:rsidRPr="00691CFA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color w:val="8064A2"/>
          <w:sz w:val="24"/>
          <w:szCs w:val="24"/>
          <w:lang w:eastAsia="hr-HR"/>
        </w:rPr>
      </w:pPr>
    </w:p>
    <w:p w:rsidR="00691CFA" w:rsidRPr="00AA7025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91CFA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AOP 105 prihodi od upravnih i administrativnih pristojbi</w:t>
      </w: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, pristojbi po posebnim propisima i naknada iznose  </w:t>
      </w:r>
      <w:r w:rsidR="00F27449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226.524.994</w:t>
      </w: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kn, i u odnosu na poslovnu 201</w:t>
      </w:r>
      <w:r w:rsidR="00F27449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8</w:t>
      </w: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godinu veći su za </w:t>
      </w:r>
      <w:r w:rsidR="00B4289C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2,3</w:t>
      </w: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%. Ovaj prihod je prihod od prodaje ulaznica.</w:t>
      </w:r>
      <w:r w:rsidR="004C05C4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U 2019 bilježimo smanjenje broj posjetitelja u srpnju i kolovozu što je i bio cilj. Uvođenjem online ulaznice i kontrolom broja posjetitelja koji su u NP Plitvička jezera postigli smo cilj da se manje uništava priroda i da gost bude zadovljan.</w:t>
      </w:r>
      <w:r w:rsidR="00CC103F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 nastavku je prikaz broja poesjetitelja i uspordba sa poslovnom 2018 odnsno sa planom.</w:t>
      </w:r>
    </w:p>
    <w:tbl>
      <w:tblPr>
        <w:tblStyle w:val="Svijetlipopis-Isticanje31"/>
        <w:tblW w:w="8766" w:type="dxa"/>
        <w:tblLook w:val="04A0" w:firstRow="1" w:lastRow="0" w:firstColumn="1" w:lastColumn="0" w:noHBand="0" w:noVBand="1"/>
      </w:tblPr>
      <w:tblGrid>
        <w:gridCol w:w="1103"/>
        <w:gridCol w:w="1049"/>
        <w:gridCol w:w="1134"/>
        <w:gridCol w:w="690"/>
        <w:gridCol w:w="305"/>
        <w:gridCol w:w="995"/>
        <w:gridCol w:w="910"/>
        <w:gridCol w:w="85"/>
        <w:gridCol w:w="995"/>
        <w:gridCol w:w="910"/>
        <w:gridCol w:w="85"/>
        <w:gridCol w:w="995"/>
      </w:tblGrid>
      <w:tr w:rsidR="00E70458" w:rsidRPr="00CC103F" w:rsidTr="00CC1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gridSpan w:val="4"/>
            <w:noWrap/>
            <w:hideMark/>
          </w:tcPr>
          <w:p w:rsidR="00E70458" w:rsidRPr="00E70458" w:rsidRDefault="00E70458" w:rsidP="00E70458">
            <w:pPr>
              <w:spacing w:line="48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r-HR"/>
              </w:rPr>
              <w:t xml:space="preserve">  </w:t>
            </w:r>
          </w:p>
          <w:p w:rsidR="00E70458" w:rsidRPr="00E70458" w:rsidRDefault="00E70458" w:rsidP="00E70458">
            <w:pPr>
              <w:spacing w:line="48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r-HR"/>
              </w:rPr>
              <w:t>BROJ ULAZNICA</w:t>
            </w:r>
          </w:p>
        </w:tc>
        <w:tc>
          <w:tcPr>
            <w:tcW w:w="1990" w:type="dxa"/>
            <w:gridSpan w:val="3"/>
            <w:noWrap/>
            <w:hideMark/>
          </w:tcPr>
          <w:p w:rsidR="00E70458" w:rsidRPr="00E70458" w:rsidRDefault="00E70458" w:rsidP="00E7045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r-HR"/>
              </w:rPr>
            </w:pPr>
          </w:p>
          <w:p w:rsidR="00E70458" w:rsidRPr="00E70458" w:rsidRDefault="00E70458" w:rsidP="00E7045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990" w:type="dxa"/>
            <w:gridSpan w:val="3"/>
            <w:noWrap/>
            <w:hideMark/>
          </w:tcPr>
          <w:p w:rsidR="00E70458" w:rsidRPr="00E70458" w:rsidRDefault="00E70458" w:rsidP="00E7045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r-HR"/>
              </w:rPr>
            </w:pPr>
          </w:p>
          <w:p w:rsidR="00E70458" w:rsidRPr="00E70458" w:rsidRDefault="00E70458" w:rsidP="00E7045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r-HR"/>
              </w:rPr>
              <w:t>% ODSTUPANJA</w:t>
            </w:r>
          </w:p>
        </w:tc>
        <w:tc>
          <w:tcPr>
            <w:tcW w:w="1080" w:type="dxa"/>
            <w:gridSpan w:val="2"/>
            <w:noWrap/>
            <w:hideMark/>
          </w:tcPr>
          <w:p w:rsidR="00E70458" w:rsidRPr="00E70458" w:rsidRDefault="00E70458" w:rsidP="00E7045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r-HR"/>
              </w:rPr>
            </w:pPr>
          </w:p>
          <w:p w:rsidR="00E70458" w:rsidRPr="00E70458" w:rsidRDefault="00E70458" w:rsidP="00E7045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r-HR"/>
              </w:rPr>
              <w:t>RAZLIKA</w:t>
            </w:r>
          </w:p>
        </w:tc>
      </w:tr>
      <w:tr w:rsidR="00E70458" w:rsidRPr="00CC103F" w:rsidTr="00CC1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rPr>
                <w:rFonts w:ascii="Arial CE" w:eastAsia="Times New Roman" w:hAnsi="Arial CE" w:cs="Arial CE"/>
                <w:color w:val="000000"/>
                <w:sz w:val="14"/>
                <w:szCs w:val="14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color w:val="000000"/>
                <w:sz w:val="14"/>
                <w:szCs w:val="14"/>
                <w:lang w:eastAsia="hr-HR"/>
              </w:rPr>
              <w:t>OSTVARENO</w:t>
            </w:r>
          </w:p>
        </w:tc>
        <w:tc>
          <w:tcPr>
            <w:tcW w:w="974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4"/>
                <w:szCs w:val="14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4"/>
                <w:szCs w:val="14"/>
                <w:lang w:eastAsia="hr-HR"/>
              </w:rPr>
              <w:t>PLANIRANO</w:t>
            </w:r>
          </w:p>
        </w:tc>
        <w:tc>
          <w:tcPr>
            <w:tcW w:w="1134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4"/>
                <w:szCs w:val="14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4"/>
                <w:szCs w:val="14"/>
                <w:lang w:eastAsia="hr-HR"/>
              </w:rPr>
              <w:t>OSTVARENO</w:t>
            </w:r>
          </w:p>
        </w:tc>
        <w:tc>
          <w:tcPr>
            <w:tcW w:w="851" w:type="dxa"/>
            <w:gridSpan w:val="2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baza=ostv</w:t>
            </w:r>
          </w:p>
        </w:tc>
        <w:tc>
          <w:tcPr>
            <w:tcW w:w="850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baza=plan</w:t>
            </w:r>
          </w:p>
        </w:tc>
        <w:tc>
          <w:tcPr>
            <w:tcW w:w="995" w:type="dxa"/>
            <w:gridSpan w:val="2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baza=ostv</w:t>
            </w:r>
          </w:p>
        </w:tc>
        <w:tc>
          <w:tcPr>
            <w:tcW w:w="995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baza=plan</w:t>
            </w:r>
          </w:p>
        </w:tc>
        <w:tc>
          <w:tcPr>
            <w:tcW w:w="995" w:type="dxa"/>
            <w:gridSpan w:val="2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baza=ostv</w:t>
            </w:r>
          </w:p>
        </w:tc>
        <w:tc>
          <w:tcPr>
            <w:tcW w:w="995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baza=plan</w:t>
            </w:r>
          </w:p>
        </w:tc>
      </w:tr>
      <w:tr w:rsidR="00E70458" w:rsidRPr="00CC103F" w:rsidTr="00CC103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974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1134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851" w:type="dxa"/>
            <w:gridSpan w:val="2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850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za 2019.</w:t>
            </w:r>
          </w:p>
        </w:tc>
        <w:tc>
          <w:tcPr>
            <w:tcW w:w="995" w:type="dxa"/>
            <w:gridSpan w:val="2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995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za 2019.</w:t>
            </w:r>
          </w:p>
        </w:tc>
        <w:tc>
          <w:tcPr>
            <w:tcW w:w="995" w:type="dxa"/>
            <w:gridSpan w:val="2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995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2019.</w:t>
            </w:r>
          </w:p>
        </w:tc>
      </w:tr>
      <w:tr w:rsidR="00E70458" w:rsidRPr="00CC103F" w:rsidTr="00CC1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74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51" w:type="dxa"/>
            <w:gridSpan w:val="2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4 (3/1)</w:t>
            </w:r>
          </w:p>
        </w:tc>
        <w:tc>
          <w:tcPr>
            <w:tcW w:w="850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5 (3/2)</w:t>
            </w:r>
          </w:p>
        </w:tc>
        <w:tc>
          <w:tcPr>
            <w:tcW w:w="995" w:type="dxa"/>
            <w:gridSpan w:val="2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6 (3/1)</w:t>
            </w:r>
          </w:p>
        </w:tc>
        <w:tc>
          <w:tcPr>
            <w:tcW w:w="995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7 (3/2)</w:t>
            </w:r>
          </w:p>
        </w:tc>
        <w:tc>
          <w:tcPr>
            <w:tcW w:w="995" w:type="dxa"/>
            <w:gridSpan w:val="2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8 (3-1)</w:t>
            </w:r>
          </w:p>
        </w:tc>
        <w:tc>
          <w:tcPr>
            <w:tcW w:w="995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9 (3-2)</w:t>
            </w:r>
          </w:p>
        </w:tc>
      </w:tr>
      <w:tr w:rsidR="00E70458" w:rsidRPr="00CC103F" w:rsidTr="00CC103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r-HR"/>
              </w:rPr>
              <w:t>1.796.670</w:t>
            </w:r>
          </w:p>
        </w:tc>
        <w:tc>
          <w:tcPr>
            <w:tcW w:w="974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1.720.000</w:t>
            </w:r>
          </w:p>
        </w:tc>
        <w:tc>
          <w:tcPr>
            <w:tcW w:w="1134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1.771.523</w:t>
            </w:r>
          </w:p>
        </w:tc>
        <w:tc>
          <w:tcPr>
            <w:tcW w:w="851" w:type="dxa"/>
            <w:gridSpan w:val="2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 xml:space="preserve">98,6 </w:t>
            </w:r>
          </w:p>
        </w:tc>
        <w:tc>
          <w:tcPr>
            <w:tcW w:w="850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 xml:space="preserve">103,0 </w:t>
            </w:r>
          </w:p>
        </w:tc>
        <w:tc>
          <w:tcPr>
            <w:tcW w:w="995" w:type="dxa"/>
            <w:gridSpan w:val="2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-1,4%</w:t>
            </w:r>
          </w:p>
        </w:tc>
        <w:tc>
          <w:tcPr>
            <w:tcW w:w="995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>3,0%</w:t>
            </w:r>
          </w:p>
        </w:tc>
        <w:tc>
          <w:tcPr>
            <w:tcW w:w="995" w:type="dxa"/>
            <w:gridSpan w:val="2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 xml:space="preserve">-25.147 </w:t>
            </w:r>
          </w:p>
        </w:tc>
        <w:tc>
          <w:tcPr>
            <w:tcW w:w="995" w:type="dxa"/>
            <w:noWrap/>
            <w:hideMark/>
          </w:tcPr>
          <w:p w:rsidR="00E70458" w:rsidRPr="00E70458" w:rsidRDefault="00E70458" w:rsidP="00CC10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</w:pPr>
            <w:r w:rsidRPr="00E70458">
              <w:rPr>
                <w:rFonts w:ascii="Arial CE" w:eastAsia="Times New Roman" w:hAnsi="Arial CE" w:cs="Arial CE"/>
                <w:b/>
                <w:color w:val="000000"/>
                <w:sz w:val="16"/>
                <w:szCs w:val="16"/>
                <w:lang w:eastAsia="hr-HR"/>
              </w:rPr>
              <w:t xml:space="preserve">51.523 </w:t>
            </w:r>
          </w:p>
        </w:tc>
      </w:tr>
    </w:tbl>
    <w:p w:rsidR="00E70458" w:rsidRPr="006474B8" w:rsidRDefault="00E7045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lang w:eastAsia="hr-HR"/>
        </w:rPr>
      </w:pPr>
    </w:p>
    <w:p w:rsidR="00CC103F" w:rsidRPr="00691CFA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91CFA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AOP 123 Prihodi od prodaje proizvoda i robe te pruženih usluga i</w:t>
      </w: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znose </w:t>
      </w:r>
      <w:r w:rsidR="00C66B78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171.999.551</w:t>
      </w: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kn. Ovi prihodi bilježe rast u odnosu na poslovnu 201</w:t>
      </w:r>
      <w:r w:rsidR="00B4289C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8</w:t>
      </w: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godinu za 5 %. Rast prihoda uslijedio je </w:t>
      </w:r>
      <w:r w:rsidR="00623D64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neznatnim </w:t>
      </w: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povećanjem </w:t>
      </w:r>
      <w:r w:rsidR="00623D64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cijena u Hotelijerstvu i ugostiteljstvu. Pr</w:t>
      </w:r>
      <w:r w:rsidR="00E84A3F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omjenom strukture prihoda u pansionskim</w:t>
      </w:r>
      <w:r w:rsidR="00623D64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 polupansionske uslug</w:t>
      </w:r>
      <w:r w:rsidR="00E84A3F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ama. Smanjen je udio prihoda od smještaja a povećan udio prihoda od hrane (ovo je sukladno troškovima ispravna odluka)</w:t>
      </w:r>
      <w:r w:rsidR="00623D64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, </w:t>
      </w:r>
      <w:r w:rsidR="00E84A3F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i</w:t>
      </w:r>
      <w:r w:rsidR="00623D64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povećanjem prodaje trgovačke robe. Struktura prihoda je slijedeća </w:t>
      </w:r>
    </w:p>
    <w:p w:rsidR="006474B8" w:rsidRPr="00691CFA" w:rsidRDefault="006474B8" w:rsidP="00CC103F">
      <w:pPr>
        <w:spacing w:after="200" w:line="240" w:lineRule="auto"/>
        <w:ind w:firstLine="708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91CFA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 125  Prihodi od prodaje roba </w:t>
      </w:r>
      <w:r w:rsidR="00B4289C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33.610.955</w:t>
      </w:r>
      <w:r w:rsidR="00CC103F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kn. Isti su</w:t>
      </w: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u odnosu na poslovnu 201</w:t>
      </w:r>
      <w:r w:rsidR="00B4289C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8</w:t>
      </w:r>
      <w:r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godinu veći za </w:t>
      </w:r>
      <w:r w:rsidR="00B4289C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3</w:t>
      </w:r>
      <w:r w:rsidR="00DE2F70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%.</w:t>
      </w:r>
      <w:r w:rsidR="00CC103F" w:rsidRPr="00691CF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Ostvareni prihodi po organizacijskoj strukuri nalaze se u narednoj tabeli.</w:t>
      </w:r>
    </w:p>
    <w:p w:rsidR="00691CFA" w:rsidRPr="006474B8" w:rsidRDefault="00691CFA" w:rsidP="00CC103F">
      <w:pPr>
        <w:spacing w:after="200" w:line="240" w:lineRule="auto"/>
        <w:ind w:firstLine="708"/>
        <w:jc w:val="both"/>
        <w:rPr>
          <w:rFonts w:ascii="Calibri" w:eastAsia="Times New Roman" w:hAnsi="Calibri" w:cs="Times New Roman"/>
          <w:i/>
          <w:noProof/>
          <w:lang w:eastAsia="hr-HR"/>
        </w:rPr>
      </w:pPr>
    </w:p>
    <w:tbl>
      <w:tblPr>
        <w:tblStyle w:val="Srednjareetka3-Isticanje6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5529"/>
        <w:gridCol w:w="1842"/>
      </w:tblGrid>
      <w:tr w:rsidR="00691CFA" w:rsidRPr="00C74D49" w:rsidTr="006B6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:rsidR="006474B8" w:rsidRPr="00C74D49" w:rsidRDefault="006474B8" w:rsidP="00A33EBC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AOP 125 Konto</w:t>
            </w:r>
          </w:p>
        </w:tc>
        <w:tc>
          <w:tcPr>
            <w:tcW w:w="5529" w:type="dxa"/>
            <w:tcBorders>
              <w:bottom w:val="single" w:sz="4" w:space="0" w:color="A8D08D" w:themeColor="accent6" w:themeTint="99"/>
            </w:tcBorders>
          </w:tcPr>
          <w:p w:rsidR="006474B8" w:rsidRPr="00C74D49" w:rsidRDefault="006474B8" w:rsidP="00A33EB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Prihodi od prodaje robe</w:t>
            </w:r>
          </w:p>
        </w:tc>
        <w:tc>
          <w:tcPr>
            <w:tcW w:w="1842" w:type="dxa"/>
            <w:tcBorders>
              <w:bottom w:val="single" w:sz="4" w:space="0" w:color="A8D08D" w:themeColor="accent6" w:themeTint="99"/>
            </w:tcBorders>
          </w:tcPr>
          <w:p w:rsidR="006474B8" w:rsidRPr="00C74D49" w:rsidRDefault="00B4289C" w:rsidP="00C74D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33.610.955</w:t>
            </w:r>
            <w:r w:rsidR="006474B8"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 xml:space="preserve"> kn</w:t>
            </w:r>
          </w:p>
        </w:tc>
      </w:tr>
      <w:tr w:rsidR="00A33EBC" w:rsidRPr="00C74D49" w:rsidTr="006B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A8D08D" w:themeColor="accent6" w:themeTint="99"/>
            </w:tcBorders>
            <w:noWrap/>
            <w:hideMark/>
          </w:tcPr>
          <w:p w:rsidR="00B4289C" w:rsidRPr="00C74D49" w:rsidRDefault="00B4289C" w:rsidP="00A33EBC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B4289C" w:rsidRPr="00C74D49" w:rsidRDefault="00C74D49" w:rsidP="00A33E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ULAZ I "RASTOVAČA" - 2010</w:t>
            </w:r>
          </w:p>
        </w:tc>
        <w:tc>
          <w:tcPr>
            <w:tcW w:w="184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B4289C" w:rsidRPr="00C74D49" w:rsidRDefault="00B4289C" w:rsidP="00C74D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1.296,00 kn</w:t>
            </w:r>
          </w:p>
        </w:tc>
      </w:tr>
      <w:tr w:rsidR="00B4289C" w:rsidRPr="00C74D49" w:rsidTr="006B6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A8D08D" w:themeColor="accent6" w:themeTint="99"/>
            </w:tcBorders>
            <w:noWrap/>
            <w:hideMark/>
          </w:tcPr>
          <w:p w:rsidR="00B4289C" w:rsidRPr="00C74D49" w:rsidRDefault="00B4289C" w:rsidP="00A33EBC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B4289C" w:rsidRPr="00C74D49" w:rsidRDefault="00C74D49" w:rsidP="00A33E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ULAZ III "FLORA" - 2030</w:t>
            </w:r>
          </w:p>
        </w:tc>
        <w:tc>
          <w:tcPr>
            <w:tcW w:w="184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B4289C" w:rsidRPr="00C74D49" w:rsidRDefault="00B4289C" w:rsidP="00C74D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7.952,00 kn</w:t>
            </w:r>
          </w:p>
        </w:tc>
      </w:tr>
      <w:tr w:rsidR="00A33EBC" w:rsidRPr="00C74D49" w:rsidTr="006B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A8D08D" w:themeColor="accent6" w:themeTint="99"/>
            </w:tcBorders>
            <w:noWrap/>
            <w:hideMark/>
          </w:tcPr>
          <w:p w:rsidR="00B4289C" w:rsidRPr="00C74D49" w:rsidRDefault="00B4289C" w:rsidP="00A33EBC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B4289C" w:rsidRPr="00C74D49" w:rsidRDefault="00C74D49" w:rsidP="00A33E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PODRUŽNICA TRGOVINA - 5</w:t>
            </w:r>
          </w:p>
        </w:tc>
        <w:tc>
          <w:tcPr>
            <w:tcW w:w="184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B4289C" w:rsidRPr="00C74D49" w:rsidRDefault="00B4289C" w:rsidP="00C74D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274,20 kn</w:t>
            </w:r>
          </w:p>
        </w:tc>
      </w:tr>
      <w:tr w:rsidR="00B4289C" w:rsidRPr="00C74D49" w:rsidTr="006B6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A8D08D" w:themeColor="accent6" w:themeTint="99"/>
            </w:tcBorders>
            <w:noWrap/>
            <w:hideMark/>
          </w:tcPr>
          <w:p w:rsidR="00B4289C" w:rsidRPr="00C74D49" w:rsidRDefault="00B4289C" w:rsidP="00A33EBC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B4289C" w:rsidRPr="00C74D49" w:rsidRDefault="00C74D49" w:rsidP="00A33E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TRGOVINA MUKINJE - 5001</w:t>
            </w:r>
          </w:p>
        </w:tc>
        <w:tc>
          <w:tcPr>
            <w:tcW w:w="184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B4289C" w:rsidRPr="00C74D49" w:rsidRDefault="00B4289C" w:rsidP="00C74D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7.492.080,34 kn</w:t>
            </w:r>
          </w:p>
        </w:tc>
      </w:tr>
      <w:tr w:rsidR="00A33EBC" w:rsidRPr="00C74D49" w:rsidTr="006B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A8D08D" w:themeColor="accent6" w:themeTint="99"/>
            </w:tcBorders>
            <w:noWrap/>
            <w:hideMark/>
          </w:tcPr>
          <w:p w:rsidR="00B4289C" w:rsidRPr="00C74D49" w:rsidRDefault="00B4289C" w:rsidP="00A33EBC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B4289C" w:rsidRPr="00C74D49" w:rsidRDefault="00C74D49" w:rsidP="00A33E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TRGOVINA HLADOVINA - 5002</w:t>
            </w:r>
          </w:p>
        </w:tc>
        <w:tc>
          <w:tcPr>
            <w:tcW w:w="184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B4289C" w:rsidRPr="00C74D49" w:rsidRDefault="00B4289C" w:rsidP="00C74D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5.171.963,76 kn</w:t>
            </w:r>
          </w:p>
        </w:tc>
      </w:tr>
      <w:tr w:rsidR="00B4289C" w:rsidRPr="00C74D49" w:rsidTr="006B6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A8D08D" w:themeColor="accent6" w:themeTint="99"/>
            </w:tcBorders>
            <w:noWrap/>
            <w:hideMark/>
          </w:tcPr>
          <w:p w:rsidR="00B4289C" w:rsidRPr="00C74D49" w:rsidRDefault="00B4289C" w:rsidP="00A33EBC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B4289C" w:rsidRPr="00C74D49" w:rsidRDefault="00C74D49" w:rsidP="00A33E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SUVENIRNICA PLITVICE - 5003</w:t>
            </w:r>
          </w:p>
        </w:tc>
        <w:tc>
          <w:tcPr>
            <w:tcW w:w="184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B4289C" w:rsidRPr="00C74D49" w:rsidRDefault="00B4289C" w:rsidP="00C74D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237.707,87 kn</w:t>
            </w:r>
          </w:p>
        </w:tc>
      </w:tr>
      <w:tr w:rsidR="00A33EBC" w:rsidRPr="00C74D49" w:rsidTr="006B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A8D08D" w:themeColor="accent6" w:themeTint="99"/>
            </w:tcBorders>
            <w:noWrap/>
            <w:hideMark/>
          </w:tcPr>
          <w:p w:rsidR="00B4289C" w:rsidRPr="00C74D49" w:rsidRDefault="00B4289C" w:rsidP="00A33EBC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B4289C" w:rsidRPr="00C74D49" w:rsidRDefault="00C74D49" w:rsidP="00A33E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SUVENIRNICA JEZERO - 5004</w:t>
            </w:r>
          </w:p>
        </w:tc>
        <w:tc>
          <w:tcPr>
            <w:tcW w:w="184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B4289C" w:rsidRPr="00C74D49" w:rsidRDefault="00B4289C" w:rsidP="00C74D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1.623.804,95 kn</w:t>
            </w:r>
          </w:p>
        </w:tc>
      </w:tr>
      <w:tr w:rsidR="00B4289C" w:rsidRPr="00C74D49" w:rsidTr="006B6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A8D08D" w:themeColor="accent6" w:themeTint="99"/>
            </w:tcBorders>
            <w:noWrap/>
            <w:hideMark/>
          </w:tcPr>
          <w:p w:rsidR="00B4289C" w:rsidRPr="00C74D49" w:rsidRDefault="00B4289C" w:rsidP="00A33EBC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B4289C" w:rsidRPr="00C74D49" w:rsidRDefault="00C74D49" w:rsidP="00A33E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SUVENIRNICA SLAP - 5006</w:t>
            </w:r>
          </w:p>
        </w:tc>
        <w:tc>
          <w:tcPr>
            <w:tcW w:w="184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B4289C" w:rsidRPr="00C74D49" w:rsidRDefault="00B4289C" w:rsidP="00C74D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4.887.144,98 kn</w:t>
            </w:r>
          </w:p>
        </w:tc>
      </w:tr>
      <w:tr w:rsidR="00A33EBC" w:rsidRPr="00C74D49" w:rsidTr="006B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A8D08D" w:themeColor="accent6" w:themeTint="99"/>
            </w:tcBorders>
            <w:noWrap/>
            <w:hideMark/>
          </w:tcPr>
          <w:p w:rsidR="00B4289C" w:rsidRPr="00C74D49" w:rsidRDefault="00B4289C" w:rsidP="00A33EBC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B4289C" w:rsidRPr="00C74D49" w:rsidRDefault="00C74D49" w:rsidP="00A33E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SUVENIRNICA KOZJAČKA DRAGA - 5008</w:t>
            </w:r>
          </w:p>
        </w:tc>
        <w:tc>
          <w:tcPr>
            <w:tcW w:w="184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B4289C" w:rsidRPr="00C74D49" w:rsidRDefault="00B4289C" w:rsidP="00C74D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4.122.437,69 kn</w:t>
            </w:r>
          </w:p>
        </w:tc>
      </w:tr>
      <w:tr w:rsidR="00B4289C" w:rsidRPr="00C74D49" w:rsidTr="006B6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A8D08D" w:themeColor="accent6" w:themeTint="99"/>
            </w:tcBorders>
            <w:noWrap/>
            <w:hideMark/>
          </w:tcPr>
          <w:p w:rsidR="00B4289C" w:rsidRPr="00C74D49" w:rsidRDefault="00B4289C" w:rsidP="00A33EBC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B4289C" w:rsidRPr="00C74D49" w:rsidRDefault="00C74D49" w:rsidP="00A33E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SLADOLED - 5009</w:t>
            </w:r>
          </w:p>
        </w:tc>
        <w:tc>
          <w:tcPr>
            <w:tcW w:w="184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B4289C" w:rsidRPr="00C74D49" w:rsidRDefault="00B4289C" w:rsidP="00C74D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3.241.061,77 kn</w:t>
            </w:r>
          </w:p>
        </w:tc>
      </w:tr>
      <w:tr w:rsidR="00A33EBC" w:rsidRPr="00C74D49" w:rsidTr="006B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A8D08D" w:themeColor="accent6" w:themeTint="99"/>
            </w:tcBorders>
            <w:noWrap/>
            <w:hideMark/>
          </w:tcPr>
          <w:p w:rsidR="00B4289C" w:rsidRPr="00C74D49" w:rsidRDefault="00B4289C" w:rsidP="00A33EBC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B4289C" w:rsidRPr="00C74D49" w:rsidRDefault="00C74D49" w:rsidP="00A33E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TRGOVINA GRABOVAC - 5010</w:t>
            </w:r>
          </w:p>
        </w:tc>
        <w:tc>
          <w:tcPr>
            <w:tcW w:w="184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B4289C" w:rsidRPr="00C74D49" w:rsidRDefault="00B4289C" w:rsidP="00C74D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4.260.609,56 kn</w:t>
            </w:r>
          </w:p>
        </w:tc>
      </w:tr>
      <w:tr w:rsidR="00B4289C" w:rsidRPr="00C74D49" w:rsidTr="006B6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A8D08D" w:themeColor="accent6" w:themeTint="99"/>
            </w:tcBorders>
            <w:noWrap/>
            <w:hideMark/>
          </w:tcPr>
          <w:p w:rsidR="00B4289C" w:rsidRPr="00C74D49" w:rsidRDefault="00B4289C" w:rsidP="00A33EBC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B4289C" w:rsidRPr="00C74D49" w:rsidRDefault="00C74D49" w:rsidP="00A33E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TRGOVINA KORANA - 5011</w:t>
            </w:r>
          </w:p>
        </w:tc>
        <w:tc>
          <w:tcPr>
            <w:tcW w:w="184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B4289C" w:rsidRPr="00C74D49" w:rsidRDefault="00B4289C" w:rsidP="00C74D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1.505.756,35 kn</w:t>
            </w:r>
          </w:p>
        </w:tc>
      </w:tr>
      <w:tr w:rsidR="00A33EBC" w:rsidRPr="00C74D49" w:rsidTr="006B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A8D08D" w:themeColor="accent6" w:themeTint="99"/>
            </w:tcBorders>
            <w:noWrap/>
            <w:hideMark/>
          </w:tcPr>
          <w:p w:rsidR="00B4289C" w:rsidRPr="00C74D49" w:rsidRDefault="00B4289C" w:rsidP="00A33EBC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B4289C" w:rsidRPr="00C74D49" w:rsidRDefault="00C74D49" w:rsidP="00A33E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TRGOVINA BORJE - 5012</w:t>
            </w:r>
          </w:p>
        </w:tc>
        <w:tc>
          <w:tcPr>
            <w:tcW w:w="184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B4289C" w:rsidRPr="00C74D49" w:rsidRDefault="00B4289C" w:rsidP="00C74D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791.962,09 kn</w:t>
            </w:r>
          </w:p>
        </w:tc>
      </w:tr>
      <w:tr w:rsidR="006B6DA3" w:rsidRPr="00C74D49" w:rsidTr="006B6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hideMark/>
          </w:tcPr>
          <w:p w:rsidR="00B4289C" w:rsidRPr="00C74D49" w:rsidRDefault="00B4289C" w:rsidP="00A33EBC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661420000000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B4289C" w:rsidRPr="00C74D49" w:rsidRDefault="00C74D49" w:rsidP="00A33E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HLADOVINA - VANJSKA PRODAJA - 5007</w:t>
            </w:r>
          </w:p>
        </w:tc>
        <w:tc>
          <w:tcPr>
            <w:tcW w:w="184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B4289C" w:rsidRPr="00C74D49" w:rsidRDefault="00B4289C" w:rsidP="00C74D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120.788,85 kn</w:t>
            </w:r>
          </w:p>
        </w:tc>
      </w:tr>
      <w:tr w:rsidR="00A33EBC" w:rsidRPr="00C74D49" w:rsidTr="006B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hideMark/>
          </w:tcPr>
          <w:p w:rsidR="00B4289C" w:rsidRPr="00C74D49" w:rsidRDefault="00B4289C" w:rsidP="00A33EBC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661420100000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B4289C" w:rsidRPr="00C74D49" w:rsidRDefault="00C74D49" w:rsidP="00A33E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TRGOVINA MUKINJE - 5001</w:t>
            </w:r>
          </w:p>
        </w:tc>
        <w:tc>
          <w:tcPr>
            <w:tcW w:w="184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B4289C" w:rsidRPr="00C74D49" w:rsidRDefault="00B4289C" w:rsidP="00C74D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13.584,11 kn</w:t>
            </w:r>
          </w:p>
        </w:tc>
      </w:tr>
      <w:tr w:rsidR="00B4289C" w:rsidRPr="00C74D49" w:rsidTr="006B6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hideMark/>
          </w:tcPr>
          <w:p w:rsidR="00B4289C" w:rsidRPr="00C74D49" w:rsidRDefault="00B4289C" w:rsidP="00A33EBC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661420400000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B4289C" w:rsidRPr="00C74D49" w:rsidRDefault="00C74D49" w:rsidP="00A33E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SUVENIRNICA JEZERO - 5004</w:t>
            </w:r>
          </w:p>
        </w:tc>
        <w:tc>
          <w:tcPr>
            <w:tcW w:w="184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B4289C" w:rsidRPr="00C74D49" w:rsidRDefault="00B4289C" w:rsidP="00C74D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146,00 kn</w:t>
            </w:r>
          </w:p>
        </w:tc>
      </w:tr>
      <w:tr w:rsidR="00A33EBC" w:rsidRPr="00C74D49" w:rsidTr="006B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hideMark/>
          </w:tcPr>
          <w:p w:rsidR="00B4289C" w:rsidRPr="00C74D49" w:rsidRDefault="00B4289C" w:rsidP="00A33EBC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661421400000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B4289C" w:rsidRPr="00C74D49" w:rsidRDefault="00C74D49" w:rsidP="00A33E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ULAZ I "RASTOVAČA" - 2010</w:t>
            </w:r>
          </w:p>
        </w:tc>
        <w:tc>
          <w:tcPr>
            <w:tcW w:w="184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B4289C" w:rsidRPr="00C74D49" w:rsidRDefault="00B4289C" w:rsidP="00C74D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17.488,00 kn</w:t>
            </w:r>
          </w:p>
        </w:tc>
      </w:tr>
      <w:tr w:rsidR="00B4289C" w:rsidRPr="00C74D49" w:rsidTr="006B6D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hideMark/>
          </w:tcPr>
          <w:p w:rsidR="00B4289C" w:rsidRPr="00C74D49" w:rsidRDefault="00B4289C" w:rsidP="00A33EBC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lang w:eastAsia="hr-HR"/>
              </w:rPr>
              <w:t>661421400000</w:t>
            </w:r>
          </w:p>
        </w:tc>
        <w:tc>
          <w:tcPr>
            <w:tcW w:w="552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B4289C" w:rsidRPr="00C74D49" w:rsidRDefault="00C74D49" w:rsidP="00A33E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ULAZ III "FLORA" - 2030</w:t>
            </w:r>
          </w:p>
        </w:tc>
        <w:tc>
          <w:tcPr>
            <w:tcW w:w="184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B4289C" w:rsidRPr="00C74D49" w:rsidRDefault="00B4289C" w:rsidP="00C74D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114.896,00 kn</w:t>
            </w:r>
          </w:p>
        </w:tc>
      </w:tr>
    </w:tbl>
    <w:p w:rsidR="00B4289C" w:rsidRPr="00B4289C" w:rsidRDefault="00B4289C" w:rsidP="00B4289C">
      <w:pPr>
        <w:tabs>
          <w:tab w:val="left" w:pos="142"/>
        </w:tabs>
        <w:spacing w:before="240" w:after="240" w:line="240" w:lineRule="auto"/>
        <w:ind w:left="948"/>
        <w:contextualSpacing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CC103F" w:rsidRDefault="006474B8" w:rsidP="00CC103F">
      <w:pPr>
        <w:spacing w:after="200" w:line="240" w:lineRule="auto"/>
        <w:ind w:firstLine="708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CC103F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AOP 123 Prihodi od pruženih usluga</w:t>
      </w:r>
      <w:r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="00DE2F70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138.366.398</w:t>
      </w:r>
      <w:r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kn. bilježe rast  od 5% u odnosu na poslovnu 201</w:t>
      </w:r>
      <w:r w:rsidR="00623D64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8</w:t>
      </w:r>
      <w:r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. godinu. </w:t>
      </w:r>
      <w:r w:rsidR="00DE2F70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Najveće odstupanje </w:t>
      </w:r>
      <w:r w:rsidR="00E84A3F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j</w:t>
      </w:r>
      <w:r w:rsidR="00DE2F70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e na prihodu od kampa koj</w:t>
      </w:r>
      <w:r w:rsidR="00E84A3F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i bilježi smanjenje od 9,2%. Uzr</w:t>
      </w:r>
      <w:r w:rsidR="00DE2F70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ok ovog smanjenja možemo naći u konkurenciji novootvorenih kampova, koji su svojom ponudom puno primamljiviji za goste. Prihod od pića bilježi rast od 20,2%, Isti je por</w:t>
      </w:r>
      <w:r w:rsidR="00A33EB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a</w:t>
      </w:r>
      <w:r w:rsidR="00E84A3F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s</w:t>
      </w:r>
      <w:r w:rsidR="00DE2F70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tao r</w:t>
      </w:r>
      <w:r w:rsidR="00A33EB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s</w:t>
      </w:r>
      <w:r w:rsidR="00DE2F70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atom cijena i povećanjem prodaje. Negativno visoko odstupanje bilježimo kod vođenja, mjenjačke provizije i ostalih prihoda u hotelu.</w:t>
      </w:r>
      <w:r w:rsidR="00FA5D2B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Mjenjačnice sve manje posla imaju većinskim korištenjem bankovnih kartica pri plaćanju usluga i roba. Ostali prihodi u hotelima smanjeni su </w:t>
      </w:r>
      <w:r w:rsidR="00A33EB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za </w:t>
      </w:r>
      <w:r w:rsidR="00FA5D2B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41,4%</w:t>
      </w:r>
      <w:r w:rsidR="00A33EB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 Prihodi od parkinga su veći</w:t>
      </w:r>
      <w:r w:rsidR="000C3BF8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39,6 %. Na pov</w:t>
      </w:r>
      <w:r w:rsidR="00A33EB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ećanje prihoda utjecalo je diza</w:t>
      </w:r>
      <w:r w:rsidR="000C3BF8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nje cijene. Pri</w:t>
      </w:r>
      <w:r w:rsidR="00A33EB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h</w:t>
      </w:r>
      <w:r w:rsidR="000C3BF8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od od sporta i animacije je smanjen iz razloga nedostatka snijega. Vučnica je radila samo par dana. </w:t>
      </w:r>
      <w:r w:rsidR="00A33EB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Pad prihoda od najma </w:t>
      </w:r>
      <w:r w:rsidR="000C3BF8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stambenog </w:t>
      </w:r>
      <w:r w:rsidR="00CB121C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prostora je očekivan pr</w:t>
      </w:r>
      <w:r w:rsidR="00A33EB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nosom</w:t>
      </w:r>
      <w:r w:rsidR="00CB121C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st</w:t>
      </w:r>
      <w:r w:rsidR="000C3BF8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anova u vlasništvo RH.</w:t>
      </w:r>
      <w:r w:rsidR="00E84A3F" w:rsidRPr="00CC103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Struktura </w:t>
      </w:r>
      <w:r w:rsidR="00A33EB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prihoda od pruženih usluga je slijedeća:</w:t>
      </w:r>
    </w:p>
    <w:tbl>
      <w:tblPr>
        <w:tblpPr w:leftFromText="180" w:rightFromText="180" w:vertAnchor="text" w:horzAnchor="margin" w:tblpY="656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63"/>
        <w:gridCol w:w="5272"/>
        <w:gridCol w:w="2253"/>
      </w:tblGrid>
      <w:tr w:rsidR="006474B8" w:rsidRPr="00DE2F70" w:rsidTr="006B6DA3">
        <w:trPr>
          <w:trHeight w:val="318"/>
        </w:trPr>
        <w:tc>
          <w:tcPr>
            <w:tcW w:w="94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noWrap/>
            <w:hideMark/>
          </w:tcPr>
          <w:p w:rsidR="006474B8" w:rsidRPr="00C74D49" w:rsidRDefault="006474B8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 xml:space="preserve">AOP 123 Konto  </w:t>
            </w:r>
          </w:p>
        </w:tc>
        <w:tc>
          <w:tcPr>
            <w:tcW w:w="2838" w:type="pct"/>
            <w:tcBorders>
              <w:top w:val="single" w:sz="8" w:space="0" w:color="FFFFFF"/>
              <w:left w:val="single" w:sz="8" w:space="0" w:color="FFFFFF"/>
              <w:bottom w:val="single" w:sz="4" w:space="0" w:color="A8D08D" w:themeColor="accent6" w:themeTint="99"/>
              <w:right w:val="single" w:sz="8" w:space="0" w:color="FFFFFF"/>
            </w:tcBorders>
            <w:shd w:val="clear" w:color="auto" w:fill="70AD47"/>
            <w:hideMark/>
          </w:tcPr>
          <w:p w:rsidR="006474B8" w:rsidRPr="00C74D49" w:rsidRDefault="006474B8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 xml:space="preserve">Prihodi od pruženih usluga </w:t>
            </w:r>
          </w:p>
        </w:tc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4" w:space="0" w:color="A8D08D" w:themeColor="accent6" w:themeTint="99"/>
              <w:right w:val="single" w:sz="8" w:space="0" w:color="FFFFFF"/>
            </w:tcBorders>
            <w:shd w:val="clear" w:color="auto" w:fill="70AD47"/>
            <w:noWrap/>
          </w:tcPr>
          <w:p w:rsidR="006474B8" w:rsidRPr="00C74D49" w:rsidRDefault="0006341F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138.366.396,</w:t>
            </w:r>
            <w:r w:rsidR="006474B8"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kn</w:t>
            </w:r>
          </w:p>
        </w:tc>
      </w:tr>
      <w:tr w:rsidR="0006341F" w:rsidRPr="0006341F" w:rsidTr="006B6DA3">
        <w:trPr>
          <w:trHeight w:val="318"/>
        </w:trPr>
        <w:tc>
          <w:tcPr>
            <w:tcW w:w="949" w:type="pct"/>
            <w:tcBorders>
              <w:top w:val="single" w:sz="8" w:space="0" w:color="FFFFFF"/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661511100000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06341F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tuzemstvo smještaj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3.608.326,87 kn</w:t>
            </w:r>
          </w:p>
        </w:tc>
      </w:tr>
      <w:tr w:rsidR="0006341F" w:rsidRPr="0006341F" w:rsidTr="006B6DA3">
        <w:trPr>
          <w:trHeight w:val="318"/>
        </w:trPr>
        <w:tc>
          <w:tcPr>
            <w:tcW w:w="949" w:type="pct"/>
            <w:tcBorders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661511120000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06341F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tuzemstvo kamp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14.376,92 kn</w:t>
            </w:r>
          </w:p>
        </w:tc>
      </w:tr>
      <w:tr w:rsidR="0006341F" w:rsidRPr="0006341F" w:rsidTr="006B6DA3">
        <w:trPr>
          <w:trHeight w:val="318"/>
        </w:trPr>
        <w:tc>
          <w:tcPr>
            <w:tcW w:w="949" w:type="pct"/>
            <w:tcBorders>
              <w:top w:val="single" w:sz="8" w:space="0" w:color="FFFFFF"/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661511130000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06341F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tuzemstvo ostalo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162.439,14 kn</w:t>
            </w:r>
          </w:p>
        </w:tc>
      </w:tr>
      <w:tr w:rsidR="0006341F" w:rsidRPr="0006341F" w:rsidTr="006B6DA3">
        <w:trPr>
          <w:trHeight w:val="318"/>
        </w:trPr>
        <w:tc>
          <w:tcPr>
            <w:tcW w:w="949" w:type="pct"/>
            <w:tcBorders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661511200000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06341F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tuzemstvo hrana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35.354.531,25 kn</w:t>
            </w:r>
          </w:p>
        </w:tc>
      </w:tr>
      <w:tr w:rsidR="0006341F" w:rsidRPr="0006341F" w:rsidTr="006B6DA3">
        <w:trPr>
          <w:trHeight w:val="318"/>
        </w:trPr>
        <w:tc>
          <w:tcPr>
            <w:tcW w:w="949" w:type="pct"/>
            <w:tcBorders>
              <w:top w:val="single" w:sz="8" w:space="0" w:color="FFFFFF"/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661511300000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06341F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tuzemstvo piće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</w:tcPr>
          <w:p w:rsidR="0006341F" w:rsidRPr="00C74D49" w:rsidRDefault="0006341F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21.235.432,59 kn</w:t>
            </w:r>
          </w:p>
        </w:tc>
      </w:tr>
      <w:tr w:rsidR="0006341F" w:rsidRPr="0006341F" w:rsidTr="006B6DA3">
        <w:trPr>
          <w:trHeight w:val="318"/>
        </w:trPr>
        <w:tc>
          <w:tcPr>
            <w:tcW w:w="949" w:type="pct"/>
            <w:tcBorders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661511500000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06341F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tuzemstvo vođenje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55.475,40 kn</w:t>
            </w:r>
          </w:p>
        </w:tc>
      </w:tr>
      <w:tr w:rsidR="0006341F" w:rsidRPr="0006341F" w:rsidTr="006B6DA3">
        <w:trPr>
          <w:trHeight w:val="318"/>
        </w:trPr>
        <w:tc>
          <w:tcPr>
            <w:tcW w:w="949" w:type="pct"/>
            <w:tcBorders>
              <w:top w:val="single" w:sz="8" w:space="0" w:color="FFFFFF"/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661511600000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06341F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provizija pbz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613.329,93 kn</w:t>
            </w:r>
          </w:p>
        </w:tc>
      </w:tr>
      <w:tr w:rsidR="0006341F" w:rsidRPr="0006341F" w:rsidTr="006B6DA3">
        <w:trPr>
          <w:trHeight w:val="318"/>
        </w:trPr>
        <w:tc>
          <w:tcPr>
            <w:tcW w:w="949" w:type="pct"/>
            <w:tcBorders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661511700000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06341F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parking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14.442.921,60 kn</w:t>
            </w:r>
          </w:p>
        </w:tc>
      </w:tr>
      <w:tr w:rsidR="0006341F" w:rsidRPr="0006341F" w:rsidTr="006B6DA3">
        <w:trPr>
          <w:trHeight w:val="318"/>
        </w:trPr>
        <w:tc>
          <w:tcPr>
            <w:tcW w:w="949" w:type="pct"/>
            <w:tcBorders>
              <w:top w:val="single" w:sz="8" w:space="0" w:color="FFFFFF"/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661511800000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06341F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najam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456.123,66 kn</w:t>
            </w:r>
          </w:p>
        </w:tc>
      </w:tr>
      <w:tr w:rsidR="0006341F" w:rsidRPr="0006341F" w:rsidTr="006B6DA3">
        <w:trPr>
          <w:trHeight w:val="318"/>
        </w:trPr>
        <w:tc>
          <w:tcPr>
            <w:tcW w:w="949" w:type="pct"/>
            <w:tcBorders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661511810000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06341F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stanarina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183.843,45 kn</w:t>
            </w:r>
          </w:p>
        </w:tc>
      </w:tr>
      <w:tr w:rsidR="0006341F" w:rsidRPr="0006341F" w:rsidTr="006B6DA3">
        <w:trPr>
          <w:trHeight w:val="318"/>
        </w:trPr>
        <w:tc>
          <w:tcPr>
            <w:tcW w:w="949" w:type="pct"/>
            <w:tcBorders>
              <w:top w:val="single" w:sz="8" w:space="0" w:color="FFFFFF"/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661511820000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06341F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grijanje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</w:tcPr>
          <w:p w:rsidR="0006341F" w:rsidRPr="00C74D49" w:rsidRDefault="0006341F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211.124,63 kn</w:t>
            </w:r>
          </w:p>
        </w:tc>
      </w:tr>
      <w:tr w:rsidR="0006341F" w:rsidRPr="0006341F" w:rsidTr="006B6DA3">
        <w:trPr>
          <w:trHeight w:val="318"/>
        </w:trPr>
        <w:tc>
          <w:tcPr>
            <w:tcW w:w="949" w:type="pct"/>
            <w:tcBorders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661511900000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06341F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sport i animacija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305.459,75 kn</w:t>
            </w:r>
          </w:p>
        </w:tc>
      </w:tr>
      <w:tr w:rsidR="0006341F" w:rsidRPr="0006341F" w:rsidTr="006B6DA3">
        <w:trPr>
          <w:trHeight w:val="318"/>
        </w:trPr>
        <w:tc>
          <w:tcPr>
            <w:tcW w:w="949" w:type="pct"/>
            <w:tcBorders>
              <w:top w:val="single" w:sz="8" w:space="0" w:color="FFFFFF"/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</w:tcPr>
          <w:p w:rsidR="0006341F" w:rsidRPr="00C74D49" w:rsidRDefault="0006341F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661511910000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06341F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ostalo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</w:tcPr>
          <w:p w:rsidR="0006341F" w:rsidRPr="00C74D49" w:rsidRDefault="0006341F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68.493,73 kn</w:t>
            </w:r>
          </w:p>
        </w:tc>
      </w:tr>
      <w:tr w:rsidR="0006341F" w:rsidRPr="0006341F" w:rsidTr="006B6DA3">
        <w:trPr>
          <w:trHeight w:val="318"/>
        </w:trPr>
        <w:tc>
          <w:tcPr>
            <w:tcW w:w="949" w:type="pct"/>
            <w:tcBorders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661511920000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06341F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koncesijska naknada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hideMark/>
          </w:tcPr>
          <w:p w:rsidR="0006341F" w:rsidRPr="00C74D49" w:rsidRDefault="0006341F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96.600,00 kn</w:t>
            </w:r>
          </w:p>
        </w:tc>
      </w:tr>
      <w:tr w:rsidR="00DE2F70" w:rsidRPr="0006341F" w:rsidTr="006B6DA3">
        <w:trPr>
          <w:trHeight w:val="318"/>
        </w:trPr>
        <w:tc>
          <w:tcPr>
            <w:tcW w:w="949" w:type="pct"/>
            <w:tcBorders>
              <w:top w:val="single" w:sz="8" w:space="0" w:color="FFFFFF"/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  <w:hideMark/>
          </w:tcPr>
          <w:p w:rsidR="00DE2F70" w:rsidRPr="00C74D49" w:rsidRDefault="00DE2F70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661512110000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DE2F70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inozemstvo smještaj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hideMark/>
          </w:tcPr>
          <w:p w:rsidR="00DE2F70" w:rsidRPr="00C74D49" w:rsidRDefault="00DE2F70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41.571.269,90 kn</w:t>
            </w:r>
          </w:p>
        </w:tc>
      </w:tr>
      <w:tr w:rsidR="00DE2F70" w:rsidRPr="0006341F" w:rsidTr="006B6DA3">
        <w:trPr>
          <w:trHeight w:val="318"/>
        </w:trPr>
        <w:tc>
          <w:tcPr>
            <w:tcW w:w="949" w:type="pct"/>
            <w:tcBorders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  <w:hideMark/>
          </w:tcPr>
          <w:p w:rsidR="00DE2F70" w:rsidRPr="00C74D49" w:rsidRDefault="00DE2F70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661512112000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DE2F70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inozemstvo kamp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hideMark/>
          </w:tcPr>
          <w:p w:rsidR="00DE2F70" w:rsidRPr="00C74D49" w:rsidRDefault="00DE2F70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1.584.198,27 kn</w:t>
            </w:r>
          </w:p>
        </w:tc>
      </w:tr>
      <w:tr w:rsidR="00DE2F70" w:rsidRPr="0006341F" w:rsidTr="006B6DA3">
        <w:trPr>
          <w:trHeight w:val="318"/>
        </w:trPr>
        <w:tc>
          <w:tcPr>
            <w:tcW w:w="949" w:type="pct"/>
            <w:tcBorders>
              <w:top w:val="single" w:sz="8" w:space="0" w:color="FFFFFF"/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  <w:hideMark/>
          </w:tcPr>
          <w:p w:rsidR="00DE2F70" w:rsidRPr="00C74D49" w:rsidRDefault="00DE2F70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661512113000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DE2F70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inozemstvo ostalo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hideMark/>
          </w:tcPr>
          <w:p w:rsidR="00DE2F70" w:rsidRPr="00C74D49" w:rsidRDefault="00DE2F70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328.347,22 kn</w:t>
            </w:r>
          </w:p>
        </w:tc>
      </w:tr>
      <w:tr w:rsidR="00DE2F70" w:rsidRPr="0006341F" w:rsidTr="006B6DA3">
        <w:trPr>
          <w:trHeight w:val="318"/>
        </w:trPr>
        <w:tc>
          <w:tcPr>
            <w:tcW w:w="949" w:type="pct"/>
            <w:tcBorders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  <w:hideMark/>
          </w:tcPr>
          <w:p w:rsidR="00DE2F70" w:rsidRPr="00C74D49" w:rsidRDefault="00DE2F70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661512120000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DE2F70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inozemstvo hrana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hideMark/>
          </w:tcPr>
          <w:p w:rsidR="00DE2F70" w:rsidRPr="00C74D49" w:rsidRDefault="00DE2F70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16.697.177,90 kn</w:t>
            </w:r>
          </w:p>
        </w:tc>
      </w:tr>
      <w:tr w:rsidR="00DE2F70" w:rsidRPr="0006341F" w:rsidTr="006B6DA3">
        <w:trPr>
          <w:trHeight w:val="318"/>
        </w:trPr>
        <w:tc>
          <w:tcPr>
            <w:tcW w:w="949" w:type="pct"/>
            <w:tcBorders>
              <w:top w:val="single" w:sz="8" w:space="0" w:color="FFFFFF"/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  <w:hideMark/>
          </w:tcPr>
          <w:p w:rsidR="00DE2F70" w:rsidRPr="00C74D49" w:rsidRDefault="00DE2F70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661512130000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:rsidR="00DE2F70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inozemstvo piće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hideMark/>
          </w:tcPr>
          <w:p w:rsidR="00DE2F70" w:rsidRPr="00C74D49" w:rsidRDefault="00DE2F70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1.218.468,34 kn</w:t>
            </w:r>
          </w:p>
        </w:tc>
      </w:tr>
      <w:tr w:rsidR="00DE2F70" w:rsidRPr="0006341F" w:rsidTr="006B6DA3">
        <w:trPr>
          <w:trHeight w:val="355"/>
        </w:trPr>
        <w:tc>
          <w:tcPr>
            <w:tcW w:w="949" w:type="pct"/>
            <w:tcBorders>
              <w:left w:val="single" w:sz="8" w:space="0" w:color="FFFFFF"/>
              <w:right w:val="single" w:sz="4" w:space="0" w:color="A8D08D" w:themeColor="accent6" w:themeTint="99"/>
            </w:tcBorders>
            <w:shd w:val="clear" w:color="auto" w:fill="70AD47"/>
            <w:noWrap/>
          </w:tcPr>
          <w:p w:rsidR="00DE2F70" w:rsidRPr="00C74D49" w:rsidRDefault="00DE2F70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661512150000</w:t>
            </w:r>
          </w:p>
        </w:tc>
        <w:tc>
          <w:tcPr>
            <w:tcW w:w="2838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:rsidR="00DE2F70" w:rsidRPr="00C74D49" w:rsidRDefault="00C74D49" w:rsidP="00691CF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prihodi od pruženih usluga - inozemstvo vođenje</w:t>
            </w:r>
          </w:p>
        </w:tc>
        <w:tc>
          <w:tcPr>
            <w:tcW w:w="1213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</w:tcPr>
          <w:p w:rsidR="00DE2F70" w:rsidRPr="00C74D49" w:rsidRDefault="00DE2F70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158.455,80 kn</w:t>
            </w:r>
          </w:p>
        </w:tc>
      </w:tr>
    </w:tbl>
    <w:p w:rsid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B6DA3" w:rsidRDefault="006B6DA3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U tabeli je prikazan broj noćenja u hotelima i kampovima,</w:t>
      </w:r>
    </w:p>
    <w:p w:rsidR="006B6DA3" w:rsidRDefault="006B6DA3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tbl>
      <w:tblPr>
        <w:tblStyle w:val="Srednjareetka3-Isticanje6"/>
        <w:tblW w:w="9220" w:type="dxa"/>
        <w:tblLook w:val="04A0" w:firstRow="1" w:lastRow="0" w:firstColumn="1" w:lastColumn="0" w:noHBand="0" w:noVBand="1"/>
      </w:tblPr>
      <w:tblGrid>
        <w:gridCol w:w="1833"/>
        <w:gridCol w:w="1206"/>
        <w:gridCol w:w="1127"/>
        <w:gridCol w:w="1206"/>
        <w:gridCol w:w="973"/>
        <w:gridCol w:w="985"/>
        <w:gridCol w:w="973"/>
        <w:gridCol w:w="985"/>
      </w:tblGrid>
      <w:tr w:rsidR="006B6DA3" w:rsidRPr="006B6DA3" w:rsidTr="006B6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  <w:t>BROJ  NOĆENJA</w:t>
            </w:r>
          </w:p>
        </w:tc>
        <w:tc>
          <w:tcPr>
            <w:tcW w:w="1980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980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  <w:t>% ODSTUPANJA</w:t>
            </w:r>
          </w:p>
        </w:tc>
      </w:tr>
      <w:tr w:rsidR="006B6DA3" w:rsidRPr="006B6DA3" w:rsidTr="006B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</w:pPr>
          </w:p>
        </w:tc>
        <w:tc>
          <w:tcPr>
            <w:tcW w:w="122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OSTVARENO</w:t>
            </w:r>
          </w:p>
        </w:tc>
        <w:tc>
          <w:tcPr>
            <w:tcW w:w="114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04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OSTVARENO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baza=ostv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baza=plan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baza=ostv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baza=plan</w:t>
            </w:r>
          </w:p>
        </w:tc>
      </w:tr>
      <w:tr w:rsidR="006B6DA3" w:rsidRPr="006B6DA3" w:rsidTr="006B6DA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</w:pPr>
          </w:p>
        </w:tc>
        <w:tc>
          <w:tcPr>
            <w:tcW w:w="122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114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104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za 2019.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za 2019.</w:t>
            </w:r>
          </w:p>
        </w:tc>
      </w:tr>
      <w:tr w:rsidR="006B6DA3" w:rsidRPr="006B6DA3" w:rsidTr="006B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</w:pPr>
          </w:p>
        </w:tc>
        <w:tc>
          <w:tcPr>
            <w:tcW w:w="122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4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04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4 (3/1)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5 (3/2)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6 (3/1)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7 (3/2)</w:t>
            </w:r>
          </w:p>
        </w:tc>
      </w:tr>
      <w:tr w:rsidR="006B6DA3" w:rsidRPr="006B6DA3" w:rsidTr="006B6D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  <w:t>HOTEL "JEZERO"</w:t>
            </w:r>
          </w:p>
        </w:tc>
        <w:tc>
          <w:tcPr>
            <w:tcW w:w="122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90.525</w:t>
            </w:r>
          </w:p>
        </w:tc>
        <w:tc>
          <w:tcPr>
            <w:tcW w:w="114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104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87.484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96,6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97,2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-3,4%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-2,8%</w:t>
            </w:r>
          </w:p>
        </w:tc>
      </w:tr>
      <w:tr w:rsidR="006B6DA3" w:rsidRPr="006B6DA3" w:rsidTr="006B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  <w:t>HOTEL "PLITVICE"</w:t>
            </w:r>
          </w:p>
        </w:tc>
        <w:tc>
          <w:tcPr>
            <w:tcW w:w="122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19.963</w:t>
            </w:r>
          </w:p>
        </w:tc>
        <w:tc>
          <w:tcPr>
            <w:tcW w:w="114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19.500</w:t>
            </w:r>
          </w:p>
        </w:tc>
        <w:tc>
          <w:tcPr>
            <w:tcW w:w="104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19.182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96,1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98,4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-3,9%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-1,6%</w:t>
            </w:r>
          </w:p>
        </w:tc>
      </w:tr>
      <w:tr w:rsidR="006B6DA3" w:rsidRPr="006B6DA3" w:rsidTr="006B6DA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  <w:t>HOTEL "BELLEVUE"</w:t>
            </w:r>
          </w:p>
        </w:tc>
        <w:tc>
          <w:tcPr>
            <w:tcW w:w="122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24.257</w:t>
            </w:r>
          </w:p>
        </w:tc>
        <w:tc>
          <w:tcPr>
            <w:tcW w:w="114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24.200</w:t>
            </w:r>
          </w:p>
        </w:tc>
        <w:tc>
          <w:tcPr>
            <w:tcW w:w="104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24.098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99,3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99,6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-0,7%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-0,4%</w:t>
            </w:r>
          </w:p>
        </w:tc>
      </w:tr>
      <w:tr w:rsidR="006B6DA3" w:rsidRPr="006B6DA3" w:rsidTr="006B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  <w:t>HOTEL "GRABOVAC"</w:t>
            </w:r>
          </w:p>
        </w:tc>
        <w:tc>
          <w:tcPr>
            <w:tcW w:w="122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9.698</w:t>
            </w:r>
          </w:p>
        </w:tc>
        <w:tc>
          <w:tcPr>
            <w:tcW w:w="114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04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9.118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94,0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91,2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-6,0%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-8,8%</w:t>
            </w:r>
          </w:p>
        </w:tc>
      </w:tr>
      <w:tr w:rsidR="006B6DA3" w:rsidRPr="006B6DA3" w:rsidTr="006B6D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  <w:t>UKUPNO HOTELI</w:t>
            </w:r>
          </w:p>
        </w:tc>
        <w:tc>
          <w:tcPr>
            <w:tcW w:w="122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144.443</w:t>
            </w:r>
          </w:p>
        </w:tc>
        <w:tc>
          <w:tcPr>
            <w:tcW w:w="114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143.700</w:t>
            </w:r>
          </w:p>
        </w:tc>
        <w:tc>
          <w:tcPr>
            <w:tcW w:w="104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139.882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96,8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97,3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-3,2%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-2,7%</w:t>
            </w:r>
          </w:p>
        </w:tc>
      </w:tr>
      <w:tr w:rsidR="006B6DA3" w:rsidRPr="006B6DA3" w:rsidTr="006B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  <w:t>AUTO KAMP "KORANA"</w:t>
            </w:r>
          </w:p>
        </w:tc>
        <w:tc>
          <w:tcPr>
            <w:tcW w:w="122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91.977</w:t>
            </w:r>
          </w:p>
        </w:tc>
        <w:tc>
          <w:tcPr>
            <w:tcW w:w="114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90.700</w:t>
            </w:r>
          </w:p>
        </w:tc>
        <w:tc>
          <w:tcPr>
            <w:tcW w:w="104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77.293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84,0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85,2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-16,0%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-14,8%</w:t>
            </w:r>
          </w:p>
        </w:tc>
      </w:tr>
      <w:tr w:rsidR="006B6DA3" w:rsidRPr="006B6DA3" w:rsidTr="006B6DA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  <w:t>AUTO KAMP "BORJE"</w:t>
            </w:r>
          </w:p>
        </w:tc>
        <w:tc>
          <w:tcPr>
            <w:tcW w:w="122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24.972</w:t>
            </w:r>
          </w:p>
        </w:tc>
        <w:tc>
          <w:tcPr>
            <w:tcW w:w="114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23.600</w:t>
            </w:r>
          </w:p>
        </w:tc>
        <w:tc>
          <w:tcPr>
            <w:tcW w:w="104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19.212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76,9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81,4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-23,1%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-18,6%</w:t>
            </w:r>
          </w:p>
        </w:tc>
      </w:tr>
      <w:tr w:rsidR="006B6DA3" w:rsidRPr="006B6DA3" w:rsidTr="006B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right w:val="single" w:sz="4" w:space="0" w:color="A8D08D" w:themeColor="accent6" w:themeTint="99"/>
            </w:tcBorders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  <w:t>UKUPNO KAMPOVI</w:t>
            </w:r>
          </w:p>
        </w:tc>
        <w:tc>
          <w:tcPr>
            <w:tcW w:w="122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116.949</w:t>
            </w:r>
          </w:p>
        </w:tc>
        <w:tc>
          <w:tcPr>
            <w:tcW w:w="114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114.300</w:t>
            </w:r>
          </w:p>
        </w:tc>
        <w:tc>
          <w:tcPr>
            <w:tcW w:w="104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96.505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82,5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84,4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-17,5%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-15,6%</w:t>
            </w:r>
          </w:p>
        </w:tc>
      </w:tr>
      <w:tr w:rsidR="006B6DA3" w:rsidRPr="006B6DA3" w:rsidTr="006B6DA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right w:val="single" w:sz="4" w:space="0" w:color="A8D08D" w:themeColor="accent6" w:themeTint="99"/>
            </w:tcBorders>
            <w:vAlign w:val="center"/>
            <w:hideMark/>
          </w:tcPr>
          <w:p w:rsidR="00FB74AD" w:rsidRPr="00FB74AD" w:rsidRDefault="00FB74AD" w:rsidP="006B6DA3">
            <w:pPr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hr-HR"/>
              </w:rPr>
              <w:t>NOĆENJA SVEUKUPNO</w:t>
            </w:r>
          </w:p>
        </w:tc>
        <w:tc>
          <w:tcPr>
            <w:tcW w:w="122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261.392</w:t>
            </w:r>
          </w:p>
        </w:tc>
        <w:tc>
          <w:tcPr>
            <w:tcW w:w="114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258.000</w:t>
            </w:r>
          </w:p>
        </w:tc>
        <w:tc>
          <w:tcPr>
            <w:tcW w:w="104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236.387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90,4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91,6</w:t>
            </w:r>
          </w:p>
        </w:tc>
        <w:tc>
          <w:tcPr>
            <w:tcW w:w="98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-9,6%</w:t>
            </w:r>
          </w:p>
        </w:tc>
        <w:tc>
          <w:tcPr>
            <w:tcW w:w="9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noWrap/>
            <w:vAlign w:val="center"/>
            <w:hideMark/>
          </w:tcPr>
          <w:p w:rsidR="00FB74AD" w:rsidRPr="00FB74AD" w:rsidRDefault="00FB74AD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</w:pPr>
            <w:r w:rsidRPr="00FB74AD">
              <w:rPr>
                <w:rFonts w:ascii="Arial CE" w:eastAsia="Times New Roman" w:hAnsi="Arial CE" w:cs="Arial CE"/>
                <w:sz w:val="16"/>
                <w:szCs w:val="16"/>
                <w:lang w:eastAsia="hr-HR"/>
              </w:rPr>
              <w:t>-8,4%</w:t>
            </w:r>
          </w:p>
        </w:tc>
      </w:tr>
    </w:tbl>
    <w:p w:rsidR="00691CFA" w:rsidRPr="006B6DA3" w:rsidRDefault="00691CFA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91CFA" w:rsidRPr="00AA7025" w:rsidRDefault="006474B8" w:rsidP="00AA7025">
      <w:pPr>
        <w:spacing w:after="200" w:line="240" w:lineRule="auto"/>
        <w:ind w:firstLine="708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91CFA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AOP 136 kazne i upravne mjere i ostali prihodi</w:t>
      </w:r>
      <w:r w:rsidRPr="00691CFA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iznose </w:t>
      </w:r>
      <w:r w:rsidR="000C3BF8" w:rsidRPr="00691CFA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2.356.586,36</w:t>
      </w:r>
      <w:r w:rsidRPr="00691CFA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kn. u odnosu na poslovnu 201</w:t>
      </w:r>
      <w:r w:rsidR="000C3BF8" w:rsidRPr="00691CFA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8</w:t>
      </w:r>
      <w:r w:rsidRPr="00691CFA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. godinu bilježi rast od </w:t>
      </w:r>
      <w:r w:rsidR="000C3BF8" w:rsidRPr="00691CFA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210,6</w:t>
      </w:r>
      <w:r w:rsidRPr="00691CFA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% .</w:t>
      </w:r>
      <w:r w:rsidR="000C3BF8" w:rsidRPr="00691CFA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Isti je prouzročen </w:t>
      </w:r>
      <w:r w:rsidR="00691CFA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smanjenjem prihoda od k</w:t>
      </w:r>
      <w:r w:rsidR="00CB121C" w:rsidRPr="00691CFA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azni i upravni</w:t>
      </w:r>
      <w:r w:rsidR="00691CFA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h mjera ii povećanjem ostalih prihoda.</w:t>
      </w:r>
      <w:r w:rsidR="00CB121C" w:rsidRPr="00691CFA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Najveća stavka </w:t>
      </w:r>
      <w:r w:rsidR="00691CFA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ostalih prihoda je</w:t>
      </w:r>
      <w:r w:rsidR="00CB121C" w:rsidRPr="00691CFA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oprihodovanje rezerviranje za sudski spor ADG koji je okončan u njihovu korist.</w:t>
      </w:r>
    </w:p>
    <w:tbl>
      <w:tblPr>
        <w:tblW w:w="4997" w:type="pct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58"/>
        <w:gridCol w:w="5660"/>
        <w:gridCol w:w="1864"/>
      </w:tblGrid>
      <w:tr w:rsidR="006474B8" w:rsidRPr="00C74D49" w:rsidTr="00CB121C">
        <w:trPr>
          <w:trHeight w:val="305"/>
        </w:trPr>
        <w:tc>
          <w:tcPr>
            <w:tcW w:w="94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noWrap/>
          </w:tcPr>
          <w:p w:rsidR="006474B8" w:rsidRPr="00C74D49" w:rsidRDefault="006474B8" w:rsidP="00647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AOP 147 683</w:t>
            </w:r>
          </w:p>
        </w:tc>
        <w:tc>
          <w:tcPr>
            <w:tcW w:w="304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6474B8" w:rsidRPr="00C74D49" w:rsidRDefault="006474B8" w:rsidP="00647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Ostali prihodi</w:t>
            </w:r>
          </w:p>
        </w:tc>
        <w:tc>
          <w:tcPr>
            <w:tcW w:w="100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noWrap/>
          </w:tcPr>
          <w:p w:rsidR="006474B8" w:rsidRPr="00C74D49" w:rsidRDefault="00CB121C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2.356.586,36</w:t>
            </w:r>
            <w:r w:rsidR="006474B8"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n</w:t>
            </w:r>
          </w:p>
        </w:tc>
      </w:tr>
      <w:tr w:rsidR="00CB121C" w:rsidRPr="00C74D49" w:rsidTr="00F17B84">
        <w:trPr>
          <w:trHeight w:val="305"/>
        </w:trPr>
        <w:tc>
          <w:tcPr>
            <w:tcW w:w="947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0AD47"/>
            <w:noWrap/>
            <w:hideMark/>
          </w:tcPr>
          <w:p w:rsidR="00CB121C" w:rsidRPr="00C74D49" w:rsidRDefault="00CB121C" w:rsidP="00CB12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68311</w:t>
            </w:r>
          </w:p>
        </w:tc>
        <w:tc>
          <w:tcPr>
            <w:tcW w:w="3049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B121C" w:rsidRPr="00C74D49" w:rsidRDefault="00CB121C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Ostali prihodi</w:t>
            </w:r>
          </w:p>
        </w:tc>
        <w:tc>
          <w:tcPr>
            <w:tcW w:w="1004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CB121C" w:rsidRPr="00C74D49" w:rsidRDefault="00CB121C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588.245,06 kn</w:t>
            </w:r>
          </w:p>
        </w:tc>
      </w:tr>
      <w:tr w:rsidR="00CB121C" w:rsidRPr="00C74D49" w:rsidTr="00F17B84">
        <w:trPr>
          <w:trHeight w:val="305"/>
        </w:trPr>
        <w:tc>
          <w:tcPr>
            <w:tcW w:w="947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70AD47"/>
            <w:noWrap/>
            <w:hideMark/>
          </w:tcPr>
          <w:p w:rsidR="00CB121C" w:rsidRPr="00C74D49" w:rsidRDefault="00CB121C" w:rsidP="00CB12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683112</w:t>
            </w:r>
          </w:p>
        </w:tc>
        <w:tc>
          <w:tcPr>
            <w:tcW w:w="3049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B121C" w:rsidRPr="00C74D49" w:rsidRDefault="00CB121C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Ostali prihodi - naknadni popusti dobavljača</w:t>
            </w:r>
          </w:p>
        </w:tc>
        <w:tc>
          <w:tcPr>
            <w:tcW w:w="1004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CB121C" w:rsidRPr="00C74D49" w:rsidRDefault="00CB121C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1.315,36 kn</w:t>
            </w:r>
          </w:p>
        </w:tc>
      </w:tr>
      <w:tr w:rsidR="00CB121C" w:rsidRPr="00C74D49" w:rsidTr="00F17B84">
        <w:trPr>
          <w:trHeight w:val="305"/>
        </w:trPr>
        <w:tc>
          <w:tcPr>
            <w:tcW w:w="947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0AD47"/>
            <w:noWrap/>
            <w:hideMark/>
          </w:tcPr>
          <w:p w:rsidR="00CB121C" w:rsidRPr="00C74D49" w:rsidRDefault="00CB121C" w:rsidP="00CB12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683113</w:t>
            </w:r>
          </w:p>
        </w:tc>
        <w:tc>
          <w:tcPr>
            <w:tcW w:w="3049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B121C" w:rsidRPr="00C74D49" w:rsidRDefault="00CB121C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Ostali prihodi - višak po inventuri</w:t>
            </w:r>
          </w:p>
        </w:tc>
        <w:tc>
          <w:tcPr>
            <w:tcW w:w="1004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CB121C" w:rsidRPr="00C74D49" w:rsidRDefault="00CB121C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269.031,66 kn</w:t>
            </w:r>
          </w:p>
        </w:tc>
      </w:tr>
      <w:tr w:rsidR="00CB121C" w:rsidRPr="00C74D49" w:rsidTr="00F17B84">
        <w:trPr>
          <w:trHeight w:val="305"/>
        </w:trPr>
        <w:tc>
          <w:tcPr>
            <w:tcW w:w="947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70AD47"/>
            <w:noWrap/>
          </w:tcPr>
          <w:p w:rsidR="00CB121C" w:rsidRPr="00C74D49" w:rsidRDefault="00CB121C" w:rsidP="00CB12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683114</w:t>
            </w:r>
          </w:p>
        </w:tc>
        <w:tc>
          <w:tcPr>
            <w:tcW w:w="3049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CB121C" w:rsidRPr="00C74D49" w:rsidRDefault="00CB121C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Ostali prihodi - prihodovanja dugoročnih rezerviranja</w:t>
            </w:r>
          </w:p>
        </w:tc>
        <w:tc>
          <w:tcPr>
            <w:tcW w:w="1004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CB121C" w:rsidRPr="00C74D49" w:rsidRDefault="00CB121C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905.080,51 kn</w:t>
            </w:r>
          </w:p>
        </w:tc>
      </w:tr>
      <w:tr w:rsidR="00CB121C" w:rsidRPr="00C74D49" w:rsidTr="00F17B84">
        <w:trPr>
          <w:trHeight w:val="305"/>
        </w:trPr>
        <w:tc>
          <w:tcPr>
            <w:tcW w:w="947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0AD47"/>
            <w:noWrap/>
            <w:hideMark/>
          </w:tcPr>
          <w:p w:rsidR="00CB121C" w:rsidRPr="00C74D49" w:rsidRDefault="00CB121C" w:rsidP="00CB12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683115</w:t>
            </w:r>
          </w:p>
        </w:tc>
        <w:tc>
          <w:tcPr>
            <w:tcW w:w="3049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B121C" w:rsidRPr="00C74D49" w:rsidRDefault="00CB121C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Ostali prihodi - prihodi iz prošlih godina</w:t>
            </w:r>
          </w:p>
        </w:tc>
        <w:tc>
          <w:tcPr>
            <w:tcW w:w="1004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CB121C" w:rsidRPr="00C74D49" w:rsidRDefault="00CB121C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89.112,57 kn</w:t>
            </w:r>
          </w:p>
        </w:tc>
      </w:tr>
      <w:tr w:rsidR="00CB121C" w:rsidRPr="00C74D49" w:rsidTr="00F17B84">
        <w:trPr>
          <w:trHeight w:val="305"/>
        </w:trPr>
        <w:tc>
          <w:tcPr>
            <w:tcW w:w="947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70AD47"/>
            <w:noWrap/>
            <w:hideMark/>
          </w:tcPr>
          <w:p w:rsidR="00CB121C" w:rsidRPr="00C74D49" w:rsidRDefault="00CB121C" w:rsidP="00CB12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6831191</w:t>
            </w:r>
          </w:p>
        </w:tc>
        <w:tc>
          <w:tcPr>
            <w:tcW w:w="3049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B121C" w:rsidRPr="00C74D49" w:rsidRDefault="00CB121C" w:rsidP="00691C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Ostali prihodi - naknada štete za propuštenu korist</w:t>
            </w:r>
          </w:p>
        </w:tc>
        <w:tc>
          <w:tcPr>
            <w:tcW w:w="1004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CB121C" w:rsidRPr="00C74D49" w:rsidRDefault="00CB121C" w:rsidP="00691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278.485,64 kn</w:t>
            </w:r>
          </w:p>
        </w:tc>
      </w:tr>
    </w:tbl>
    <w:p w:rsidR="006474B8" w:rsidRPr="006474B8" w:rsidRDefault="006474B8" w:rsidP="006474B8">
      <w:pPr>
        <w:spacing w:after="200" w:line="36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</w:p>
    <w:p w:rsidR="006474B8" w:rsidRDefault="00691CFA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  <w:t xml:space="preserve">Bilješka br. 2.2..  </w:t>
      </w:r>
      <w:r w:rsidR="006474B8" w:rsidRPr="006474B8"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  <w:t>Rashodi poslovanja</w:t>
      </w:r>
    </w:p>
    <w:p w:rsidR="00C74D49" w:rsidRPr="006474B8" w:rsidRDefault="00C74D49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</w:p>
    <w:p w:rsidR="006474B8" w:rsidRPr="00296576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 xml:space="preserve">AOP 148  prikazuje rashode poslovanja  </w:t>
      </w:r>
      <w:r w:rsidRPr="0029657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201</w:t>
      </w:r>
      <w:r w:rsidR="00CB121C" w:rsidRPr="0029657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9</w:t>
      </w:r>
      <w:r w:rsidRPr="0029657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. godine u iznosu </w:t>
      </w:r>
      <w:r w:rsidR="00CB121C" w:rsidRPr="0029657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286.821.379,67</w:t>
      </w:r>
      <w:r w:rsidRPr="0029657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kn.  U odnosu na 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201</w:t>
      </w:r>
      <w:r w:rsidR="00691CFA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8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. godinu veći su za </w:t>
      </w:r>
      <w:r w:rsidR="00CB121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10,8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%. Ukupne rashode sačinjavaju dolje navedene stavke rashoda:</w:t>
      </w:r>
    </w:p>
    <w:p w:rsidR="006474B8" w:rsidRPr="00296576" w:rsidRDefault="006474B8" w:rsidP="00296576">
      <w:pPr>
        <w:spacing w:after="200" w:line="240" w:lineRule="auto"/>
        <w:ind w:firstLine="708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 xml:space="preserve"> AOP 149 rashodi za zaposlene</w:t>
      </w:r>
      <w:r w:rsidRPr="00296576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 xml:space="preserve"> </w:t>
      </w:r>
      <w:r w:rsidR="0041089E" w:rsidRPr="0029657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131.580,462,67 kn. u odnosu na poslovnu 2018</w:t>
      </w:r>
      <w:r w:rsidRPr="0029657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godinu su veći  za </w:t>
      </w:r>
      <w:r w:rsidR="0041089E" w:rsidRPr="0029657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7,8</w:t>
      </w:r>
      <w:r w:rsidRPr="0029657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%. Povećanje udjela plaća </w:t>
      </w:r>
      <w:r w:rsidR="0029657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u odnosu na poslovnu 2018. godinu </w:t>
      </w:r>
      <w:r w:rsidRPr="0029657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uzrokovano je povećanjem broja sezonskih djelatnika i porastom plaća temeljem dodatka III Kolektivnog ugovora za Javnu ustanovu Na</w:t>
      </w:r>
      <w:r w:rsidR="0029657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cionalni park Plitvička jezera i isplatom nagrade djelatnicima povodom godišnjice proglašenja nacinalnog parka te godišnjicom ulaza na UNESCOVU listu zaaštićenih prirodnih bogastava.  </w:t>
      </w:r>
      <w:r w:rsidR="0041089E" w:rsidRPr="0029657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Udio plaće u prihodima je 32,6%.</w:t>
      </w:r>
    </w:p>
    <w:tbl>
      <w:tblPr>
        <w:tblStyle w:val="Srednjareetka3-Isticanj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5339"/>
        <w:gridCol w:w="2006"/>
      </w:tblGrid>
      <w:tr w:rsidR="006474B8" w:rsidRPr="00C74D49" w:rsidTr="00FB7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6474B8" w:rsidRPr="00C74D49" w:rsidRDefault="006474B8" w:rsidP="00FB74AD">
            <w:pPr>
              <w:spacing w:line="276" w:lineRule="auto"/>
              <w:jc w:val="both"/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  <w:t>AOP 149</w:t>
            </w:r>
          </w:p>
        </w:tc>
        <w:tc>
          <w:tcPr>
            <w:tcW w:w="2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474B8" w:rsidRPr="00C74D49" w:rsidRDefault="006474B8" w:rsidP="00FB74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  <w:t>Rashodi za zaposlene</w:t>
            </w:r>
          </w:p>
        </w:tc>
        <w:tc>
          <w:tcPr>
            <w:tcW w:w="10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6474B8" w:rsidRPr="00C74D49" w:rsidRDefault="00993BDC" w:rsidP="00FB74AD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  <w:t>131.580.463</w:t>
            </w:r>
            <w:r w:rsidR="006474B8" w:rsidRPr="00C74D49"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  <w:t xml:space="preserve"> kn  </w:t>
            </w:r>
          </w:p>
        </w:tc>
      </w:tr>
      <w:tr w:rsidR="006474B8" w:rsidRPr="00C74D49" w:rsidTr="00FB7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6474B8" w:rsidRPr="00C74D49" w:rsidRDefault="006474B8" w:rsidP="00FB74AD">
            <w:pPr>
              <w:spacing w:line="276" w:lineRule="auto"/>
              <w:jc w:val="both"/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  <w:t>311- AOP 150</w:t>
            </w:r>
          </w:p>
        </w:tc>
        <w:tc>
          <w:tcPr>
            <w:tcW w:w="2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474B8" w:rsidRPr="00C74D49" w:rsidRDefault="006474B8" w:rsidP="00FB74A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Plaće (Bruto)- ukupno</w:t>
            </w:r>
          </w:p>
        </w:tc>
        <w:tc>
          <w:tcPr>
            <w:tcW w:w="10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6474B8" w:rsidRPr="00C74D49" w:rsidRDefault="00993BDC" w:rsidP="00FB74AD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106.202.064,59 kn</w:t>
            </w:r>
          </w:p>
        </w:tc>
      </w:tr>
      <w:tr w:rsidR="006474B8" w:rsidRPr="00C74D49" w:rsidTr="00FB74A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6474B8" w:rsidRPr="00C74D49" w:rsidRDefault="006474B8" w:rsidP="00FB74AD">
            <w:pPr>
              <w:spacing w:line="276" w:lineRule="auto"/>
              <w:jc w:val="both"/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  <w:t>31111</w:t>
            </w:r>
          </w:p>
        </w:tc>
        <w:tc>
          <w:tcPr>
            <w:tcW w:w="2874" w:type="pct"/>
            <w:shd w:val="clear" w:color="auto" w:fill="auto"/>
            <w:hideMark/>
          </w:tcPr>
          <w:p w:rsidR="006474B8" w:rsidRPr="00C74D49" w:rsidRDefault="006474B8" w:rsidP="00FB74A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Plaće za redovni rad</w:t>
            </w:r>
          </w:p>
        </w:tc>
        <w:tc>
          <w:tcPr>
            <w:tcW w:w="1080" w:type="pct"/>
            <w:shd w:val="clear" w:color="auto" w:fill="auto"/>
            <w:noWrap/>
            <w:hideMark/>
          </w:tcPr>
          <w:p w:rsidR="006474B8" w:rsidRPr="00C74D49" w:rsidRDefault="00993BDC" w:rsidP="00FB74AD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106.172.029 kn</w:t>
            </w:r>
          </w:p>
        </w:tc>
      </w:tr>
      <w:tr w:rsidR="006474B8" w:rsidRPr="00C74D49" w:rsidTr="00FB7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6474B8" w:rsidRPr="00C74D49" w:rsidRDefault="006474B8" w:rsidP="00FB74AD">
            <w:pPr>
              <w:spacing w:line="276" w:lineRule="auto"/>
              <w:jc w:val="both"/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  <w:t>3112</w:t>
            </w:r>
          </w:p>
        </w:tc>
        <w:tc>
          <w:tcPr>
            <w:tcW w:w="2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474B8" w:rsidRPr="00C74D49" w:rsidRDefault="006474B8" w:rsidP="00FB74A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Plaće u naravi</w:t>
            </w:r>
          </w:p>
        </w:tc>
        <w:tc>
          <w:tcPr>
            <w:tcW w:w="10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74B8" w:rsidRPr="00C74D49" w:rsidRDefault="00993BDC" w:rsidP="00FB74AD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30,035 kn</w:t>
            </w:r>
          </w:p>
        </w:tc>
      </w:tr>
      <w:tr w:rsidR="006474B8" w:rsidRPr="00C74D49" w:rsidTr="00FB74A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6474B8" w:rsidRPr="00C74D49" w:rsidRDefault="006474B8" w:rsidP="00FB74AD">
            <w:pPr>
              <w:spacing w:line="276" w:lineRule="auto"/>
              <w:jc w:val="both"/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  <w:t>312- AOP 155</w:t>
            </w:r>
          </w:p>
        </w:tc>
        <w:tc>
          <w:tcPr>
            <w:tcW w:w="2874" w:type="pct"/>
            <w:shd w:val="clear" w:color="auto" w:fill="auto"/>
          </w:tcPr>
          <w:p w:rsidR="006474B8" w:rsidRPr="00C74D49" w:rsidRDefault="006474B8" w:rsidP="00FB74A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Ostali rashodi za zaposlene - ukupno</w:t>
            </w:r>
          </w:p>
        </w:tc>
        <w:tc>
          <w:tcPr>
            <w:tcW w:w="1080" w:type="pct"/>
            <w:shd w:val="clear" w:color="auto" w:fill="auto"/>
            <w:noWrap/>
          </w:tcPr>
          <w:p w:rsidR="006474B8" w:rsidRPr="00C74D49" w:rsidRDefault="00993BDC" w:rsidP="00FB74AD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7.887.309</w:t>
            </w:r>
            <w:r w:rsidR="006474B8"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 xml:space="preserve"> kn</w:t>
            </w:r>
          </w:p>
        </w:tc>
      </w:tr>
      <w:tr w:rsidR="006474B8" w:rsidRPr="00C74D49" w:rsidTr="00FB7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6474B8" w:rsidRPr="00C74D49" w:rsidRDefault="006474B8" w:rsidP="00FB74AD">
            <w:pPr>
              <w:spacing w:line="276" w:lineRule="auto"/>
              <w:jc w:val="both"/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  <w:t>313-AOP  156</w:t>
            </w:r>
          </w:p>
        </w:tc>
        <w:tc>
          <w:tcPr>
            <w:tcW w:w="2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474B8" w:rsidRPr="00C74D49" w:rsidRDefault="006474B8" w:rsidP="00FB74A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 xml:space="preserve">Doprinosi na plaće  </w:t>
            </w:r>
          </w:p>
        </w:tc>
        <w:tc>
          <w:tcPr>
            <w:tcW w:w="10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6474B8" w:rsidRPr="00C74D49" w:rsidRDefault="00993BDC" w:rsidP="00FB74AD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17.491.089</w:t>
            </w:r>
            <w:r w:rsidR="006474B8"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 xml:space="preserve"> kn</w:t>
            </w:r>
          </w:p>
        </w:tc>
      </w:tr>
      <w:tr w:rsidR="006474B8" w:rsidRPr="00C74D49" w:rsidTr="00FB74A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6474B8" w:rsidRPr="00C74D49" w:rsidRDefault="006474B8" w:rsidP="00FB74AD">
            <w:pPr>
              <w:spacing w:line="276" w:lineRule="auto"/>
              <w:jc w:val="both"/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  <w:t>3131</w:t>
            </w:r>
          </w:p>
        </w:tc>
        <w:tc>
          <w:tcPr>
            <w:tcW w:w="2874" w:type="pct"/>
            <w:shd w:val="clear" w:color="auto" w:fill="auto"/>
          </w:tcPr>
          <w:p w:rsidR="006474B8" w:rsidRPr="00C74D49" w:rsidRDefault="006474B8" w:rsidP="00FB74A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Doprinosi za mirovinsko osiguranje</w:t>
            </w:r>
          </w:p>
        </w:tc>
        <w:tc>
          <w:tcPr>
            <w:tcW w:w="1080" w:type="pct"/>
            <w:shd w:val="clear" w:color="auto" w:fill="auto"/>
            <w:noWrap/>
          </w:tcPr>
          <w:p w:rsidR="006474B8" w:rsidRPr="00C74D49" w:rsidRDefault="00993BDC" w:rsidP="00FB74AD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92.326 kn</w:t>
            </w:r>
          </w:p>
        </w:tc>
      </w:tr>
      <w:tr w:rsidR="006474B8" w:rsidRPr="00C74D49" w:rsidTr="00FB7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6474B8" w:rsidRPr="00C74D49" w:rsidRDefault="006474B8" w:rsidP="00FB74AD">
            <w:pPr>
              <w:spacing w:line="276" w:lineRule="auto"/>
              <w:jc w:val="both"/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  <w:t>3132</w:t>
            </w:r>
          </w:p>
        </w:tc>
        <w:tc>
          <w:tcPr>
            <w:tcW w:w="2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474B8" w:rsidRPr="00C74D49" w:rsidRDefault="006474B8" w:rsidP="00FB74A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Doprinosi za obvezno zdravstveno osiguranje</w:t>
            </w:r>
          </w:p>
        </w:tc>
        <w:tc>
          <w:tcPr>
            <w:tcW w:w="10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6474B8" w:rsidRPr="00C74D49" w:rsidRDefault="00993BDC" w:rsidP="00FB74AD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17.391.604 kn</w:t>
            </w:r>
          </w:p>
        </w:tc>
      </w:tr>
      <w:tr w:rsidR="006474B8" w:rsidRPr="00C74D49" w:rsidTr="00FB74AD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6474B8" w:rsidRPr="00C74D49" w:rsidRDefault="006474B8" w:rsidP="00FB74AD">
            <w:pPr>
              <w:spacing w:line="276" w:lineRule="auto"/>
              <w:jc w:val="both"/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lang w:eastAsia="hr-HR"/>
              </w:rPr>
              <w:t>3133</w:t>
            </w:r>
          </w:p>
        </w:tc>
        <w:tc>
          <w:tcPr>
            <w:tcW w:w="2874" w:type="pct"/>
            <w:shd w:val="clear" w:color="auto" w:fill="auto"/>
          </w:tcPr>
          <w:p w:rsidR="006474B8" w:rsidRPr="00C74D49" w:rsidRDefault="006474B8" w:rsidP="00FB74A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Doprinosi za obvezno osiguranje u slučaju nezaposlenosti</w:t>
            </w:r>
          </w:p>
        </w:tc>
        <w:tc>
          <w:tcPr>
            <w:tcW w:w="1080" w:type="pct"/>
            <w:shd w:val="clear" w:color="auto" w:fill="auto"/>
            <w:noWrap/>
          </w:tcPr>
          <w:p w:rsidR="006474B8" w:rsidRPr="00C74D49" w:rsidRDefault="00993BDC" w:rsidP="00FB74AD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</w:pPr>
            <w:r w:rsidRPr="00C74D4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lang w:eastAsia="hr-HR"/>
              </w:rPr>
              <w:t>7.159,20 kn</w:t>
            </w:r>
          </w:p>
        </w:tc>
      </w:tr>
    </w:tbl>
    <w:p w:rsidR="006474B8" w:rsidRPr="00C74D49" w:rsidRDefault="006474B8" w:rsidP="00C74D4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noProof/>
          <w:color w:val="000000" w:themeColor="text1"/>
          <w:lang w:eastAsia="hr-HR"/>
        </w:rPr>
      </w:pPr>
      <w:r w:rsidRPr="00C74D49">
        <w:rPr>
          <w:rFonts w:ascii="Calibri" w:eastAsia="Times New Roman" w:hAnsi="Calibri" w:cs="Times New Roman"/>
          <w:b/>
          <w:bCs/>
          <w:i/>
          <w:noProof/>
          <w:color w:val="000000" w:themeColor="text1"/>
          <w:lang w:eastAsia="hr-HR"/>
        </w:rPr>
        <w:t xml:space="preserve"> </w:t>
      </w:r>
    </w:p>
    <w:p w:rsidR="006474B8" w:rsidRPr="00FB74AD" w:rsidRDefault="006474B8" w:rsidP="00FB74AD">
      <w:pPr>
        <w:spacing w:after="200" w:line="240" w:lineRule="auto"/>
        <w:ind w:firstLine="708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AOP 160 materijalni rashodi</w:t>
      </w:r>
      <w:r w:rsidRPr="00FB74AD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 xml:space="preserve"> </w:t>
      </w:r>
      <w:r w:rsidR="00FB74AD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iznose </w:t>
      </w:r>
      <w:r w:rsidR="00993BDC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124.204,523 </w:t>
      </w:r>
      <w:r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k</w:t>
      </w:r>
      <w:r w:rsidR="00FB74AD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n. a u </w:t>
      </w:r>
      <w:r w:rsidR="00993BDC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odnosu na poslovnu 2018</w:t>
      </w:r>
      <w:r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. godinu veći  su za </w:t>
      </w:r>
      <w:r w:rsidR="00993BDC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13,5</w:t>
      </w:r>
      <w:r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%. </w:t>
      </w:r>
    </w:p>
    <w:p w:rsidR="006474B8" w:rsidRPr="00FB74AD" w:rsidRDefault="006474B8" w:rsidP="00FB74AD">
      <w:pPr>
        <w:spacing w:after="200" w:line="240" w:lineRule="auto"/>
        <w:ind w:firstLine="1134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AOP 161 naknada trošk</w:t>
      </w:r>
      <w:r w:rsidR="00FB74AD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 xml:space="preserve">ova zaposlenim </w:t>
      </w:r>
      <w:r w:rsidRPr="006474B8">
        <w:rPr>
          <w:rFonts w:ascii="Calibri" w:eastAsia="Times New Roman" w:hAnsi="Calibri" w:cs="Times New Roman"/>
          <w:i/>
          <w:noProof/>
          <w:lang w:eastAsia="hr-HR"/>
        </w:rPr>
        <w:t>iznosi 4.</w:t>
      </w:r>
      <w:r w:rsidR="00993BDC">
        <w:rPr>
          <w:rFonts w:ascii="Calibri" w:eastAsia="Times New Roman" w:hAnsi="Calibri" w:cs="Times New Roman"/>
          <w:i/>
          <w:noProof/>
          <w:lang w:eastAsia="hr-HR"/>
        </w:rPr>
        <w:t>319.681</w:t>
      </w:r>
      <w:r w:rsidRPr="006474B8">
        <w:rPr>
          <w:rFonts w:ascii="Calibri" w:eastAsia="Times New Roman" w:hAnsi="Calibri" w:cs="Times New Roman"/>
          <w:i/>
          <w:noProof/>
          <w:lang w:eastAsia="hr-HR"/>
        </w:rPr>
        <w:t xml:space="preserve"> kn u odnosu na poslovnu </w:t>
      </w:r>
      <w:r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201</w:t>
      </w:r>
      <w:r w:rsidR="00993BDC"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8</w:t>
      </w:r>
      <w:r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godinu veći su za </w:t>
      </w:r>
      <w:r w:rsidR="00993BDC"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12,3</w:t>
      </w:r>
      <w:r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%.  Odatuapnje se bilježe u svim stavkama, nakn</w:t>
      </w:r>
      <w:r w:rsidR="00993BDC"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ade za Službeni put veće su za 6,</w:t>
      </w:r>
      <w:r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2% - Povećao se posjet sajmovima koji su u 201</w:t>
      </w:r>
      <w:r w:rsidR="00993BDC"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8</w:t>
      </w:r>
      <w:r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svedeni na minimum. Troškovi prijevoza veći su za </w:t>
      </w:r>
      <w:r w:rsidR="00993BDC"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6,7</w:t>
      </w:r>
      <w:r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%. </w:t>
      </w:r>
      <w:r w:rsidR="00993BDC"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Uz povećanje broja sezonaca povećava se i</w:t>
      </w:r>
      <w:r w:rsidR="006B6DA3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993BDC"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ova vrsta</w:t>
      </w:r>
      <w:r w:rsidR="006B6DA3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troška, potrebana analiza da </w:t>
      </w:r>
      <w:r w:rsidR="00993BDC"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bi smanjili troškove naknade za prijevoz.</w:t>
      </w:r>
      <w:r w:rsidR="006B6DA3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Stručna usavršavanja su 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manja</w:t>
      </w:r>
      <w:r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za 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7,1</w:t>
      </w:r>
      <w:r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%. 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Prošle godine je vršeno </w:t>
      </w:r>
      <w:r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uvođenja nvih informacijskih sustava i osposobljavanju djelatnika prema potrebi sturke. </w:t>
      </w:r>
    </w:p>
    <w:p w:rsidR="00532226" w:rsidRPr="00FB74AD" w:rsidRDefault="006474B8" w:rsidP="00FB74AD">
      <w:pPr>
        <w:spacing w:after="200" w:line="240" w:lineRule="auto"/>
        <w:ind w:firstLine="113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FB74AD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 166 rashodi za materijal i energiju </w:t>
      </w:r>
      <w:r w:rsidR="00FB74AD"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iznose</w:t>
      </w:r>
      <w:r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67.273.632</w:t>
      </w:r>
      <w:r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 i veći  su za 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11,7</w:t>
      </w:r>
      <w:r w:rsidRPr="00FB74A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%</w:t>
      </w:r>
      <w:r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u odnosu na 201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8</w:t>
      </w:r>
      <w:r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. 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g</w:t>
      </w:r>
      <w:r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odinu.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Mater</w:t>
      </w:r>
      <w:r w:rsidR="006B6DA3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ijal i sirovine su veći za 74%. U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zrok</w:t>
      </w:r>
      <w:r w:rsidR="006B6DA3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porsta </w:t>
      </w:r>
      <w:r w:rsidR="006B6DA3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ove vrste rashoda 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je porst prihoda od pića i hrane te povećanje pro</w:t>
      </w:r>
      <w:r w:rsidR="006B6DA3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daje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robe u trgovini. </w:t>
      </w:r>
      <w:r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Troškovi energije su povećani za 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9,6</w:t>
      </w:r>
      <w:r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% u odnosu na 201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8</w:t>
      </w:r>
      <w:r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. godinu, 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- povećanje cijene energenata</w:t>
      </w:r>
      <w:r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. Uredski materijal i ostali materijalni rashodi su povećani za 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26,9 </w:t>
      </w:r>
      <w:r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% 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 Najviše je porastao trošak papira i tonera radi uvođenja e-računa.</w:t>
      </w:r>
      <w:r w:rsidR="008857B5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Iste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više ne dostavlja dobavljač već ga printamo, ujedno je povećan broj stranica računa radi izgleda istog.</w:t>
      </w:r>
      <w:r w:rsidR="00532226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="008857B5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U budućnosti prelazak na digitalno zaprimanje računa i automatsko knjiženje kroz sustav smanjit će se navedeni troškovi. 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Materijalni djelovi za</w:t>
      </w:r>
      <w:r w:rsidR="00532226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="00F37D8F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tekuće i investicijsko održavanje su porasli za 8,4%</w:t>
      </w:r>
      <w:r w:rsidR="00532226" w:rsidRPr="00FB74A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 Možemo reći da se ove godine više ulagalo u održavanje sustava Ustanove. Ulaganje u sitan inventar i auto gume veći je za 39,3% . Putem javnog nadmetanja nabavilo se sitnog inventara u vrijednosti 1.727.580 kn. Poslovne 2019 nabavljeno je gro radne i službene odjeće koja je dotrajala. Trošak na ovoj poziciji je veća za 330,2%  od prethodne poslovne godine.</w:t>
      </w:r>
    </w:p>
    <w:p w:rsidR="006474B8" w:rsidRDefault="006474B8" w:rsidP="00FB74AD">
      <w:pPr>
        <w:spacing w:after="200" w:line="240" w:lineRule="auto"/>
        <w:ind w:firstLine="113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AOP 174 rashodi za usluge</w:t>
      </w:r>
      <w:r w:rsidR="0053222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iznose </w:t>
      </w:r>
      <w:r w:rsidR="008B56B5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25.208,160 kn, veće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su za </w:t>
      </w:r>
      <w:r w:rsidR="0053222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4,4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%, u odnosu na poslovnu 201</w:t>
      </w:r>
      <w:r w:rsidR="0053222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8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 godinu,. Najveće odstupanje u odnosu na 201</w:t>
      </w:r>
      <w:r w:rsidR="0053222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8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. godinu bilježi se na </w:t>
      </w:r>
      <w:r w:rsidR="0053222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troškovima promidžbe i informiranja,</w:t>
      </w:r>
      <w:r w:rsidR="00806FD0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="0053222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komunalnim uslugama te zakumpninama i najmaninama </w:t>
      </w:r>
      <w:r w:rsidR="008B56B5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i</w:t>
      </w:r>
      <w:r w:rsidR="0053222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zdravstvenim uslugama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</w:t>
      </w:r>
      <w:r w:rsidR="0053222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Do povećanja je došlo radi višeg angažmana oko prezentacije parka</w:t>
      </w:r>
      <w:r w:rsidR="00806FD0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="0053222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i ostalih zaštićenih područja Like, povećanja </w:t>
      </w:r>
      <w:r w:rsidR="00806FD0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komunalanih usluga</w:t>
      </w:r>
      <w:r w:rsidR="008B56B5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te najma</w:t>
      </w:r>
      <w:r w:rsidR="00806FD0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opreme za potrebe obavljanja djelatnosti i promidžbu. – Ove godine je obilježeno 70 godina od proglašenja NP i 45 godina Uneca.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="00EE401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Naknade troškva osobama izvan radnog odnosa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iznos</w:t>
      </w:r>
      <w:r w:rsidR="00EE401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i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="008B56B5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234.799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kn. </w:t>
      </w:r>
      <w:r w:rsidR="00EE401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Iste su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povećane  su za </w:t>
      </w:r>
      <w:r w:rsidR="008B56B5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54%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a odnosi se na naknadu za obavljenu praksu </w:t>
      </w:r>
      <w:r w:rsidR="00EE401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učenika 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srednje škole „Plitvička jezera  -Korenica.</w:t>
      </w:r>
    </w:p>
    <w:p w:rsidR="006474B8" w:rsidRDefault="006474B8" w:rsidP="00C4312B">
      <w:pPr>
        <w:tabs>
          <w:tab w:val="left" w:pos="284"/>
        </w:tabs>
        <w:spacing w:after="200" w:line="240" w:lineRule="auto"/>
        <w:ind w:firstLine="113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AOP 185 Ostali nespomenuti rashodi poslovanja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iznose </w:t>
      </w:r>
      <w:r w:rsidR="008B56B5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27.168.251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kn. i </w:t>
      </w:r>
      <w:r w:rsidR="008B56B5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porasli su za 30,6% 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u odnosu na 201</w:t>
      </w:r>
      <w:r w:rsidR="008B56B5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8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. godinu. Pristojbe i naknade su </w:t>
      </w:r>
      <w:r w:rsidR="008B56B5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veće 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za </w:t>
      </w:r>
      <w:r w:rsidR="008B56B5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50,9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% u odnosu na poslovnu 2017. goinu. U 2018 godini bilo je na snazi Rješenje o komunalnoj naknadi koje je temeljemtužbe  Ustanove poništeno. </w:t>
      </w:r>
      <w:r w:rsidR="00EE401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Isto je aktivirano u 2019. te je komunalna naknada povećana za 194,4%.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Reprezentacija je veća za </w:t>
      </w:r>
      <w:r w:rsidR="00EE401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61,2%,. Najveći dio iste odnosi se na proslavu Rođendana Nacionalnog parka Plitvička jezera.</w:t>
      </w:r>
      <w:r w:rsidR="005E353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Pristojbe i naknade su veće 50,9% i uzrokovane su komina</w:t>
      </w:r>
      <w:r w:rsidR="007F2E83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lnom naknadom koja je veća kako ci</w:t>
      </w:r>
      <w:r w:rsidR="005E353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jenom tako i površinom za koju se obračunava. Temeljem sudskog postupka i novim obračunom ovi troškovi su porasli u 2019 godini za 19,4% a čine polovicu ove pozicije. Ostali nespomenuti rashodi poslovanja u ovoj poziciji bilježe porast od 20,2%. Povećale su se provizije kartičara uslijed prelaska na online kupnju ulaznica, te većim korištenjem ovoga vida plaćanja. Troškovi</w:t>
      </w:r>
      <w:r w:rsidR="00AA7025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="005E353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popusta su veći za 9,5% a gratisi za 4,2%</w:t>
      </w:r>
      <w:r w:rsidR="00AA7025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  P</w:t>
      </w:r>
      <w:r w:rsidR="005E353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remije osiguranja su smanjene </w:t>
      </w:r>
      <w:r w:rsidR="00AA7025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za 30% </w:t>
      </w:r>
      <w:r w:rsidR="005E353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ali kako je to</w:t>
      </w:r>
      <w:r w:rsidR="00AA7025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="005E353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mali iznos u poziciji nama znatan utjecaj na poziciju Ostalih nespomenutih usluga.</w:t>
      </w:r>
    </w:p>
    <w:p w:rsidR="00C4312B" w:rsidRPr="006474B8" w:rsidRDefault="00C4312B" w:rsidP="00C4312B">
      <w:pPr>
        <w:tabs>
          <w:tab w:val="left" w:pos="284"/>
        </w:tabs>
        <w:spacing w:after="200" w:line="240" w:lineRule="auto"/>
        <w:ind w:firstLine="113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F4183B" w:rsidRDefault="006474B8" w:rsidP="00AA7025">
      <w:pPr>
        <w:spacing w:after="200" w:line="240" w:lineRule="auto"/>
        <w:ind w:firstLine="426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AOP 193 Financijski rashodi</w:t>
      </w:r>
      <w:r w:rsidRPr="00AA7025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 xml:space="preserve"> </w:t>
      </w:r>
      <w:r w:rsidRPr="00C4312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su </w:t>
      </w:r>
      <w:r w:rsidR="005E353C" w:rsidRPr="00C4312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maji</w:t>
      </w:r>
      <w:r w:rsidRPr="00C4312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i za </w:t>
      </w:r>
      <w:r w:rsidR="005E353C" w:rsidRPr="00C4312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20,5</w:t>
      </w:r>
      <w:r w:rsidRPr="00C4312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% u odnosu na prethodnu godinu, </w:t>
      </w:r>
      <w:r w:rsidR="00F4183B" w:rsidRPr="00C4312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smanjenj</w:t>
      </w:r>
      <w:r w:rsidRPr="00C4312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e se odnosi na </w:t>
      </w:r>
      <w:r w:rsidR="00F4183B" w:rsidRPr="00C4312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razliku koju ćine </w:t>
      </w:r>
      <w:r w:rsidRPr="00C4312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negativne tečajne razlike, koje su porasle za </w:t>
      </w:r>
      <w:r w:rsidR="00F4183B" w:rsidRPr="00C4312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65,2</w:t>
      </w:r>
      <w:r w:rsidRPr="00C4312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%, i obračunate zat</w:t>
      </w:r>
      <w:r w:rsidR="00F4183B" w:rsidRPr="00C4312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ezne kamate za izgubljeni spor ADG</w:t>
      </w:r>
      <w:r w:rsidRPr="00C4312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:</w:t>
      </w:r>
      <w:r w:rsidR="00F4183B" w:rsidRPr="00C4312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koje su većeza 59,8%</w:t>
      </w:r>
      <w:r w:rsidRPr="00C4312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="00F4183B" w:rsidRPr="00C4312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 Subvencije trgovačkom društvu u javnom sektoru manje su za 77,4% i odnosie se sredstva isplaćena Vodovodu Korenica d.o.o. za rješavanje problema vodovoda i odvodje.</w:t>
      </w:r>
      <w:r w:rsidR="00C4312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U poslovnoj 2018 godini ovi troškovi su bili veći jer je Ustanova sufinancirala katastarsku izmjeru katastarskih općina Plitvička jezera i Prijeboj.</w:t>
      </w:r>
    </w:p>
    <w:p w:rsidR="00106657" w:rsidRDefault="00C4312B" w:rsidP="00411BC9">
      <w:pPr>
        <w:tabs>
          <w:tab w:val="left" w:pos="426"/>
        </w:tabs>
        <w:spacing w:after="200" w:line="240" w:lineRule="auto"/>
        <w:jc w:val="both"/>
        <w:rPr>
          <w:rFonts w:ascii="Calibri" w:hAnsi="Calibri"/>
          <w:i/>
          <w:noProof/>
          <w:sz w:val="24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 xml:space="preserve">       </w:t>
      </w:r>
      <w:r w:rsidR="006474B8"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AOP 221  Pomoći dane u inozemstvo i unutar općeg proračuna</w:t>
      </w:r>
      <w:r w:rsidR="006474B8"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="00D026BF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i</w:t>
      </w:r>
      <w:r w:rsidR="006474B8" w:rsidRPr="00D026BF">
        <w:rPr>
          <w:rFonts w:ascii="Calibri" w:hAnsi="Calibri"/>
          <w:i/>
          <w:noProof/>
          <w:sz w:val="24"/>
        </w:rPr>
        <w:t xml:space="preserve">znose </w:t>
      </w:r>
      <w:r w:rsidR="00F4183B" w:rsidRPr="00D026BF">
        <w:rPr>
          <w:rFonts w:ascii="Calibri" w:hAnsi="Calibri"/>
          <w:i/>
          <w:noProof/>
          <w:sz w:val="24"/>
        </w:rPr>
        <w:t>20.0328,737</w:t>
      </w:r>
      <w:r w:rsidR="006474B8" w:rsidRPr="00D026BF">
        <w:rPr>
          <w:rFonts w:ascii="Calibri" w:hAnsi="Calibri"/>
          <w:i/>
          <w:noProof/>
          <w:sz w:val="24"/>
        </w:rPr>
        <w:t xml:space="preserve"> kn i </w:t>
      </w:r>
      <w:r w:rsidR="00F4183B" w:rsidRPr="00D026BF">
        <w:rPr>
          <w:rFonts w:ascii="Calibri" w:hAnsi="Calibri"/>
          <w:i/>
          <w:noProof/>
          <w:sz w:val="24"/>
        </w:rPr>
        <w:t>već</w:t>
      </w:r>
      <w:r w:rsidR="00D026BF">
        <w:rPr>
          <w:rFonts w:ascii="Calibri" w:hAnsi="Calibri"/>
          <w:i/>
          <w:noProof/>
          <w:sz w:val="24"/>
        </w:rPr>
        <w:t>e</w:t>
      </w:r>
      <w:r w:rsidR="00F4183B" w:rsidRPr="00D026BF">
        <w:rPr>
          <w:rFonts w:ascii="Calibri" w:hAnsi="Calibri"/>
          <w:i/>
          <w:noProof/>
          <w:sz w:val="24"/>
        </w:rPr>
        <w:t xml:space="preserve"> su u </w:t>
      </w:r>
      <w:r w:rsidR="006474B8" w:rsidRPr="00D026BF">
        <w:rPr>
          <w:rFonts w:ascii="Calibri" w:hAnsi="Calibri"/>
          <w:i/>
          <w:noProof/>
          <w:sz w:val="24"/>
        </w:rPr>
        <w:t>odnosu na 201</w:t>
      </w:r>
      <w:r w:rsidR="00F4183B" w:rsidRPr="00D026BF">
        <w:rPr>
          <w:rFonts w:ascii="Calibri" w:hAnsi="Calibri"/>
          <w:i/>
          <w:noProof/>
          <w:sz w:val="24"/>
        </w:rPr>
        <w:t>8 godinu</w:t>
      </w:r>
      <w:r w:rsidR="006474B8" w:rsidRPr="00D026BF">
        <w:rPr>
          <w:rFonts w:ascii="Calibri" w:hAnsi="Calibri"/>
          <w:i/>
          <w:noProof/>
          <w:sz w:val="24"/>
        </w:rPr>
        <w:t xml:space="preserve"> za </w:t>
      </w:r>
      <w:r w:rsidR="00F4183B" w:rsidRPr="00D026BF">
        <w:rPr>
          <w:rFonts w:ascii="Calibri" w:hAnsi="Calibri"/>
          <w:i/>
          <w:noProof/>
          <w:sz w:val="24"/>
        </w:rPr>
        <w:t>17,8</w:t>
      </w:r>
      <w:r w:rsidR="006474B8" w:rsidRPr="00D026BF">
        <w:rPr>
          <w:rFonts w:ascii="Calibri" w:hAnsi="Calibri"/>
          <w:i/>
          <w:noProof/>
          <w:sz w:val="24"/>
        </w:rPr>
        <w:t xml:space="preserve">%., </w:t>
      </w:r>
    </w:p>
    <w:p w:rsidR="00E00A27" w:rsidRPr="00C4312B" w:rsidRDefault="00E00A27" w:rsidP="00C4312B">
      <w:pPr>
        <w:tabs>
          <w:tab w:val="left" w:pos="426"/>
        </w:tabs>
        <w:spacing w:after="200" w:line="240" w:lineRule="auto"/>
        <w:ind w:firstLine="567"/>
        <w:jc w:val="both"/>
        <w:rPr>
          <w:rFonts w:ascii="Calibri" w:hAnsi="Calibri"/>
          <w:b/>
          <w:i/>
          <w:noProof/>
          <w:sz w:val="24"/>
        </w:rPr>
      </w:pPr>
      <w:r w:rsidRPr="00C4312B">
        <w:rPr>
          <w:rFonts w:ascii="Calibri" w:hAnsi="Calibri"/>
          <w:b/>
          <w:i/>
          <w:noProof/>
          <w:sz w:val="24"/>
        </w:rPr>
        <w:t>-</w:t>
      </w:r>
      <w:r w:rsidR="00C4312B" w:rsidRPr="00C4312B">
        <w:rPr>
          <w:rFonts w:ascii="Calibri" w:hAnsi="Calibri"/>
          <w:b/>
          <w:i/>
          <w:noProof/>
          <w:sz w:val="24"/>
        </w:rPr>
        <w:t xml:space="preserve"> </w:t>
      </w:r>
      <w:r w:rsidRPr="00C4312B">
        <w:rPr>
          <w:rFonts w:ascii="Calibri" w:hAnsi="Calibri"/>
          <w:b/>
          <w:i/>
          <w:noProof/>
          <w:sz w:val="24"/>
        </w:rPr>
        <w:t>pomoću unutar općeg proračuna</w:t>
      </w:r>
    </w:p>
    <w:p w:rsidR="00C4312B" w:rsidRDefault="00106657" w:rsidP="00C4312B">
      <w:pPr>
        <w:spacing w:after="200" w:line="240" w:lineRule="auto"/>
        <w:ind w:firstLine="567"/>
        <w:jc w:val="both"/>
        <w:rPr>
          <w:rFonts w:ascii="Calibri" w:hAnsi="Calibri"/>
          <w:i/>
          <w:noProof/>
          <w:sz w:val="24"/>
        </w:rPr>
      </w:pPr>
      <w:r>
        <w:rPr>
          <w:rFonts w:ascii="Calibri" w:hAnsi="Calibri"/>
          <w:i/>
          <w:noProof/>
          <w:sz w:val="24"/>
        </w:rPr>
        <w:t xml:space="preserve">1.) </w:t>
      </w:r>
      <w:r w:rsidR="00C4312B">
        <w:rPr>
          <w:rFonts w:ascii="Calibri" w:hAnsi="Calibri"/>
          <w:i/>
          <w:noProof/>
          <w:sz w:val="24"/>
        </w:rPr>
        <w:t xml:space="preserve">  </w:t>
      </w:r>
      <w:r>
        <w:rPr>
          <w:rFonts w:ascii="Calibri" w:hAnsi="Calibri"/>
          <w:i/>
          <w:noProof/>
          <w:sz w:val="24"/>
        </w:rPr>
        <w:t xml:space="preserve">40,000 kn </w:t>
      </w:r>
      <w:r w:rsidR="00C4312B">
        <w:rPr>
          <w:rFonts w:ascii="Calibri" w:hAnsi="Calibri"/>
          <w:i/>
          <w:noProof/>
          <w:sz w:val="24"/>
        </w:rPr>
        <w:t>- Lićko senjskoj upaniji</w:t>
      </w:r>
      <w:r>
        <w:rPr>
          <w:rFonts w:ascii="Calibri" w:hAnsi="Calibri"/>
          <w:i/>
          <w:noProof/>
          <w:sz w:val="24"/>
        </w:rPr>
        <w:t xml:space="preserve"> - potpora manifestaciji Jesen u Lici, </w:t>
      </w:r>
    </w:p>
    <w:p w:rsidR="00C4312B" w:rsidRDefault="00C4312B" w:rsidP="00C4312B">
      <w:pPr>
        <w:spacing w:after="200" w:line="240" w:lineRule="auto"/>
        <w:ind w:firstLine="567"/>
        <w:jc w:val="both"/>
        <w:rPr>
          <w:rFonts w:ascii="Calibri" w:hAnsi="Calibri"/>
          <w:i/>
          <w:noProof/>
          <w:sz w:val="24"/>
        </w:rPr>
      </w:pPr>
      <w:r>
        <w:rPr>
          <w:rFonts w:ascii="Calibri" w:hAnsi="Calibri"/>
          <w:i/>
          <w:noProof/>
          <w:sz w:val="24"/>
        </w:rPr>
        <w:t xml:space="preserve">2.)  </w:t>
      </w:r>
      <w:r w:rsidR="00D026BF">
        <w:rPr>
          <w:rFonts w:ascii="Calibri" w:hAnsi="Calibri"/>
          <w:i/>
          <w:noProof/>
          <w:sz w:val="24"/>
        </w:rPr>
        <w:t>13.528.013</w:t>
      </w:r>
      <w:r>
        <w:rPr>
          <w:rFonts w:ascii="Calibri" w:hAnsi="Calibri"/>
          <w:i/>
          <w:noProof/>
          <w:sz w:val="24"/>
        </w:rPr>
        <w:t xml:space="preserve"> kn </w:t>
      </w:r>
      <w:r w:rsidR="00F4183B" w:rsidRPr="00D026BF">
        <w:rPr>
          <w:rFonts w:ascii="Calibri" w:hAnsi="Calibri"/>
          <w:i/>
          <w:noProof/>
          <w:sz w:val="24"/>
        </w:rPr>
        <w:t xml:space="preserve"> </w:t>
      </w:r>
      <w:r>
        <w:rPr>
          <w:rFonts w:ascii="Calibri" w:hAnsi="Calibri"/>
          <w:i/>
          <w:noProof/>
          <w:sz w:val="24"/>
        </w:rPr>
        <w:t xml:space="preserve">- </w:t>
      </w:r>
      <w:r w:rsidR="00D026BF">
        <w:rPr>
          <w:rFonts w:ascii="Calibri" w:hAnsi="Calibri"/>
          <w:i/>
          <w:noProof/>
          <w:sz w:val="24"/>
        </w:rPr>
        <w:t>plaćen</w:t>
      </w:r>
      <w:r>
        <w:rPr>
          <w:rFonts w:ascii="Calibri" w:hAnsi="Calibri"/>
          <w:i/>
          <w:noProof/>
          <w:sz w:val="24"/>
        </w:rPr>
        <w:t>o</w:t>
      </w:r>
      <w:r w:rsidR="00F4183B" w:rsidRPr="00D026BF">
        <w:rPr>
          <w:rFonts w:ascii="Calibri" w:hAnsi="Calibri"/>
          <w:i/>
          <w:noProof/>
          <w:sz w:val="24"/>
        </w:rPr>
        <w:t xml:space="preserve"> je Općinama koje se nalaze na zaštićenom području, </w:t>
      </w:r>
    </w:p>
    <w:p w:rsidR="00E00A27" w:rsidRDefault="00106657" w:rsidP="00C4312B">
      <w:pPr>
        <w:spacing w:after="200" w:line="240" w:lineRule="auto"/>
        <w:ind w:firstLine="567"/>
        <w:jc w:val="both"/>
        <w:rPr>
          <w:rFonts w:ascii="Calibri" w:hAnsi="Calibri"/>
          <w:i/>
          <w:noProof/>
          <w:sz w:val="24"/>
        </w:rPr>
      </w:pPr>
      <w:r>
        <w:rPr>
          <w:rFonts w:ascii="Calibri" w:hAnsi="Calibri"/>
          <w:i/>
          <w:noProof/>
          <w:sz w:val="24"/>
        </w:rPr>
        <w:t xml:space="preserve">3.) </w:t>
      </w:r>
      <w:r w:rsidR="00C4312B">
        <w:rPr>
          <w:rFonts w:ascii="Calibri" w:hAnsi="Calibri"/>
          <w:i/>
          <w:noProof/>
          <w:sz w:val="24"/>
        </w:rPr>
        <w:t xml:space="preserve"> 5.000 kn -  </w:t>
      </w:r>
      <w:r w:rsidR="00D026BF">
        <w:rPr>
          <w:rFonts w:ascii="Calibri" w:hAnsi="Calibri"/>
          <w:i/>
          <w:noProof/>
          <w:sz w:val="24"/>
        </w:rPr>
        <w:t>Općina Lovinac -novčana pomoć za manifestaciju Dan ličkog krumpira,</w:t>
      </w:r>
      <w:r>
        <w:rPr>
          <w:rFonts w:ascii="Calibri" w:hAnsi="Calibri"/>
          <w:i/>
          <w:noProof/>
          <w:sz w:val="24"/>
        </w:rPr>
        <w:t xml:space="preserve"> </w:t>
      </w:r>
    </w:p>
    <w:p w:rsidR="00E00A27" w:rsidRPr="00C4312B" w:rsidRDefault="00C4312B" w:rsidP="00C4312B">
      <w:pPr>
        <w:spacing w:after="200" w:line="240" w:lineRule="auto"/>
        <w:ind w:firstLine="567"/>
        <w:jc w:val="both"/>
        <w:rPr>
          <w:rFonts w:ascii="Calibri" w:hAnsi="Calibri"/>
          <w:b/>
          <w:i/>
          <w:noProof/>
          <w:sz w:val="24"/>
        </w:rPr>
      </w:pPr>
      <w:r w:rsidRPr="00C4312B">
        <w:rPr>
          <w:rFonts w:ascii="Calibri" w:hAnsi="Calibri"/>
          <w:b/>
          <w:i/>
          <w:noProof/>
          <w:sz w:val="24"/>
        </w:rPr>
        <w:t xml:space="preserve">- </w:t>
      </w:r>
      <w:r w:rsidR="00E00A27" w:rsidRPr="00C4312B">
        <w:rPr>
          <w:rFonts w:ascii="Calibri" w:hAnsi="Calibri"/>
          <w:b/>
          <w:i/>
          <w:noProof/>
          <w:sz w:val="24"/>
        </w:rPr>
        <w:t xml:space="preserve">kapitlane pomoći općeg proračuna </w:t>
      </w:r>
    </w:p>
    <w:p w:rsidR="00E00A27" w:rsidRDefault="00C4312B" w:rsidP="00C4312B">
      <w:pPr>
        <w:spacing w:after="200" w:line="240" w:lineRule="auto"/>
        <w:ind w:firstLine="567"/>
        <w:jc w:val="both"/>
        <w:rPr>
          <w:rFonts w:ascii="Calibri" w:hAnsi="Calibri"/>
          <w:i/>
          <w:noProof/>
          <w:sz w:val="24"/>
        </w:rPr>
      </w:pPr>
      <w:r>
        <w:rPr>
          <w:rFonts w:ascii="Calibri" w:hAnsi="Calibri"/>
          <w:i/>
          <w:noProof/>
          <w:sz w:val="24"/>
        </w:rPr>
        <w:t>1</w:t>
      </w:r>
      <w:r w:rsidR="00106657">
        <w:rPr>
          <w:rFonts w:ascii="Calibri" w:hAnsi="Calibri"/>
          <w:i/>
          <w:noProof/>
          <w:sz w:val="24"/>
        </w:rPr>
        <w:t xml:space="preserve">.) </w:t>
      </w:r>
      <w:r w:rsidR="00D026BF">
        <w:rPr>
          <w:rFonts w:ascii="Calibri" w:hAnsi="Calibri"/>
          <w:i/>
          <w:noProof/>
          <w:sz w:val="24"/>
        </w:rPr>
        <w:t xml:space="preserve"> </w:t>
      </w:r>
      <w:r w:rsidR="007F75F7">
        <w:rPr>
          <w:rFonts w:ascii="Calibri" w:hAnsi="Calibri"/>
          <w:i/>
          <w:noProof/>
          <w:sz w:val="24"/>
        </w:rPr>
        <w:t>166.250 pomoć prorač</w:t>
      </w:r>
      <w:r w:rsidR="00F4183B" w:rsidRPr="00D026BF">
        <w:rPr>
          <w:rFonts w:ascii="Calibri" w:hAnsi="Calibri"/>
          <w:i/>
          <w:noProof/>
          <w:sz w:val="24"/>
        </w:rPr>
        <w:t>unskom korisniku državnog proračuna za Prostorni plan NP Plitvička jezera</w:t>
      </w:r>
      <w:r w:rsidR="006474B8" w:rsidRPr="00D026BF">
        <w:rPr>
          <w:rFonts w:ascii="Calibri" w:hAnsi="Calibri"/>
          <w:i/>
          <w:noProof/>
          <w:sz w:val="24"/>
        </w:rPr>
        <w:t xml:space="preserve">. </w:t>
      </w:r>
    </w:p>
    <w:p w:rsidR="00E00A27" w:rsidRPr="00C4312B" w:rsidRDefault="00C4312B" w:rsidP="00C4312B">
      <w:pPr>
        <w:spacing w:after="200" w:line="240" w:lineRule="auto"/>
        <w:jc w:val="both"/>
        <w:rPr>
          <w:rFonts w:ascii="Calibri" w:hAnsi="Calibri"/>
          <w:b/>
          <w:i/>
          <w:noProof/>
          <w:sz w:val="24"/>
        </w:rPr>
      </w:pPr>
      <w:r>
        <w:rPr>
          <w:rFonts w:ascii="Calibri" w:hAnsi="Calibri"/>
          <w:i/>
          <w:noProof/>
          <w:sz w:val="24"/>
        </w:rPr>
        <w:t xml:space="preserve">         </w:t>
      </w:r>
      <w:r w:rsidRPr="00C4312B">
        <w:rPr>
          <w:rFonts w:ascii="Calibri" w:hAnsi="Calibri"/>
          <w:b/>
          <w:i/>
          <w:noProof/>
          <w:sz w:val="24"/>
        </w:rPr>
        <w:t>- t</w:t>
      </w:r>
      <w:r w:rsidR="00D026BF" w:rsidRPr="00C4312B">
        <w:rPr>
          <w:rFonts w:ascii="Calibri" w:hAnsi="Calibri"/>
          <w:b/>
          <w:i/>
          <w:noProof/>
          <w:sz w:val="24"/>
        </w:rPr>
        <w:t>ekuće pomoći proračunskim korisnicima:</w:t>
      </w:r>
    </w:p>
    <w:p w:rsidR="00C4312B" w:rsidRDefault="00C4312B" w:rsidP="00C4312B">
      <w:pPr>
        <w:spacing w:after="200" w:line="240" w:lineRule="auto"/>
        <w:ind w:firstLine="567"/>
        <w:jc w:val="both"/>
        <w:rPr>
          <w:rFonts w:ascii="Calibri" w:hAnsi="Calibri"/>
          <w:i/>
          <w:noProof/>
          <w:sz w:val="24"/>
        </w:rPr>
      </w:pPr>
      <w:r>
        <w:rPr>
          <w:rFonts w:ascii="Calibri" w:hAnsi="Calibri"/>
          <w:i/>
          <w:noProof/>
          <w:sz w:val="24"/>
        </w:rPr>
        <w:t>1.)</w:t>
      </w:r>
      <w:r w:rsidR="00106657">
        <w:rPr>
          <w:rFonts w:ascii="Calibri" w:hAnsi="Calibri"/>
          <w:i/>
          <w:noProof/>
          <w:sz w:val="24"/>
        </w:rPr>
        <w:t xml:space="preserve"> </w:t>
      </w:r>
      <w:r w:rsidR="007F75F7">
        <w:rPr>
          <w:rFonts w:ascii="Calibri" w:hAnsi="Calibri"/>
          <w:i/>
          <w:noProof/>
          <w:sz w:val="24"/>
        </w:rPr>
        <w:t xml:space="preserve">  </w:t>
      </w:r>
      <w:r>
        <w:rPr>
          <w:rFonts w:ascii="Calibri" w:hAnsi="Calibri"/>
          <w:i/>
          <w:noProof/>
          <w:sz w:val="24"/>
        </w:rPr>
        <w:t>20.000 kn Tehničkoj</w:t>
      </w:r>
      <w:r w:rsidR="00D026BF">
        <w:rPr>
          <w:rFonts w:ascii="Calibri" w:hAnsi="Calibri"/>
          <w:i/>
          <w:noProof/>
          <w:sz w:val="24"/>
        </w:rPr>
        <w:t xml:space="preserve"> škola Sisak</w:t>
      </w:r>
      <w:r w:rsidR="00106657">
        <w:rPr>
          <w:rFonts w:ascii="Calibri" w:hAnsi="Calibri"/>
          <w:i/>
          <w:noProof/>
          <w:sz w:val="24"/>
        </w:rPr>
        <w:t xml:space="preserve">; </w:t>
      </w:r>
      <w:r w:rsidR="00D026BF">
        <w:rPr>
          <w:rFonts w:ascii="Calibri" w:hAnsi="Calibri"/>
          <w:i/>
          <w:noProof/>
          <w:sz w:val="24"/>
        </w:rPr>
        <w:t xml:space="preserve"> </w:t>
      </w:r>
    </w:p>
    <w:p w:rsidR="00E00A27" w:rsidRDefault="007F75F7" w:rsidP="00C4312B">
      <w:pPr>
        <w:spacing w:after="200" w:line="240" w:lineRule="auto"/>
        <w:ind w:firstLine="567"/>
        <w:jc w:val="both"/>
        <w:rPr>
          <w:rFonts w:ascii="Calibri" w:hAnsi="Calibri"/>
          <w:i/>
          <w:noProof/>
          <w:sz w:val="24"/>
        </w:rPr>
      </w:pPr>
      <w:r>
        <w:rPr>
          <w:rFonts w:ascii="Calibri" w:hAnsi="Calibri"/>
          <w:i/>
          <w:noProof/>
          <w:sz w:val="24"/>
        </w:rPr>
        <w:t xml:space="preserve">2.)  </w:t>
      </w:r>
      <w:r w:rsidR="00D026BF">
        <w:rPr>
          <w:rFonts w:ascii="Calibri" w:hAnsi="Calibri"/>
          <w:i/>
          <w:noProof/>
          <w:sz w:val="24"/>
        </w:rPr>
        <w:t xml:space="preserve">15.249 </w:t>
      </w:r>
      <w:r w:rsidR="00EF0B34" w:rsidRPr="00D026BF">
        <w:rPr>
          <w:rFonts w:ascii="Calibri" w:hAnsi="Calibri"/>
          <w:i/>
          <w:noProof/>
          <w:sz w:val="24"/>
        </w:rPr>
        <w:t xml:space="preserve">kn uplaćeno je </w:t>
      </w:r>
      <w:r w:rsidR="00D026BF">
        <w:rPr>
          <w:rFonts w:ascii="Calibri" w:hAnsi="Calibri"/>
          <w:i/>
          <w:noProof/>
          <w:sz w:val="24"/>
        </w:rPr>
        <w:t xml:space="preserve">OŠ Eugen Kvaternik Kvaternik, </w:t>
      </w:r>
    </w:p>
    <w:p w:rsidR="00E00A27" w:rsidRPr="007F75F7" w:rsidRDefault="00E00A27" w:rsidP="00C4312B">
      <w:pPr>
        <w:spacing w:after="200" w:line="240" w:lineRule="auto"/>
        <w:ind w:firstLine="567"/>
        <w:jc w:val="both"/>
        <w:rPr>
          <w:rFonts w:ascii="Calibri" w:hAnsi="Calibri"/>
          <w:b/>
          <w:i/>
          <w:noProof/>
          <w:sz w:val="24"/>
        </w:rPr>
      </w:pPr>
      <w:r w:rsidRPr="007F75F7">
        <w:rPr>
          <w:rFonts w:ascii="Calibri" w:hAnsi="Calibri"/>
          <w:b/>
          <w:i/>
          <w:noProof/>
          <w:sz w:val="24"/>
        </w:rPr>
        <w:t>Prijenos između proračunskih korisnika</w:t>
      </w:r>
    </w:p>
    <w:p w:rsidR="006474B8" w:rsidRPr="00DE25D2" w:rsidRDefault="00106657" w:rsidP="00DE25D2">
      <w:pPr>
        <w:pStyle w:val="Odlomakpopisa"/>
        <w:numPr>
          <w:ilvl w:val="0"/>
          <w:numId w:val="16"/>
        </w:numPr>
        <w:spacing w:after="200"/>
        <w:jc w:val="both"/>
        <w:rPr>
          <w:rFonts w:ascii="Calibri" w:hAnsi="Calibri"/>
          <w:i/>
          <w:sz w:val="24"/>
        </w:rPr>
      </w:pPr>
      <w:r w:rsidRPr="007F75F7">
        <w:rPr>
          <w:rFonts w:ascii="Calibri" w:hAnsi="Calibri"/>
          <w:i/>
          <w:sz w:val="24"/>
        </w:rPr>
        <w:t xml:space="preserve">6.254.225 uplata 3% prihoda ulaznice za pomoći zaštićenim područjima ; </w:t>
      </w:r>
      <w:r w:rsidR="006474B8" w:rsidRPr="00DE25D2">
        <w:rPr>
          <w:rFonts w:ascii="Calibri" w:hAnsi="Calibri"/>
          <w:i/>
          <w:sz w:val="24"/>
        </w:rPr>
        <w:t>.</w:t>
      </w:r>
    </w:p>
    <w:p w:rsidR="006474B8" w:rsidRPr="006474B8" w:rsidRDefault="006474B8" w:rsidP="00411BC9">
      <w:pPr>
        <w:spacing w:after="200" w:line="240" w:lineRule="auto"/>
        <w:ind w:firstLine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AOP 253  Naknade gađanima i kućanstvima na temelju osiguranja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iznose </w:t>
      </w:r>
      <w:r w:rsidR="00EF0B34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547.906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kn i veći su za </w:t>
      </w:r>
      <w:r w:rsidR="00EF0B34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316,3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% u odnosu na poslovnu 2018. godinu. Rashodi ove pozicije vezani su za stipendiranje učenika srednje škole Plitvičak jezera Temeljm ugovora sklopljenih u 2018 godini. Trošak temeljem ugovora u 2018. godini iznosio je </w:t>
      </w:r>
      <w:r w:rsidR="00EF0B34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547.163</w:t>
      </w:r>
      <w:r w:rsidR="00411BC9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kn a razlika od 743 kn je </w:t>
      </w:r>
      <w:r w:rsidR="00E00A2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pomoć za lje</w:t>
      </w:r>
      <w:r w:rsidR="00411BC9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kove J. Žagar.</w:t>
      </w:r>
    </w:p>
    <w:p w:rsidR="00ED1082" w:rsidRDefault="006474B8" w:rsidP="00411BC9">
      <w:pPr>
        <w:spacing w:after="200" w:line="240" w:lineRule="auto"/>
        <w:ind w:firstLine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AOP 257 Ostali rashodi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iznose </w:t>
      </w:r>
      <w:r w:rsidR="00E00A2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5.782.589</w:t>
      </w:r>
      <w:r w:rsidR="00411BC9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kn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i veći su za </w:t>
      </w:r>
      <w:r w:rsidR="00E00A2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106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% u odnosu na poslovnu 201</w:t>
      </w:r>
      <w:r w:rsidR="00E00A2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8</w:t>
      </w:r>
      <w:r w:rsidR="00411BC9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. godinu. 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Rashodi ove pozicije vezani su za donacije i naknade šteta i </w:t>
      </w:r>
      <w:r w:rsidR="00E00A2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prekršaja. </w:t>
      </w:r>
    </w:p>
    <w:p w:rsidR="00ED1082" w:rsidRDefault="00E00A27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Donacije su veće za 55,9</w:t>
      </w:r>
      <w:r w:rsidR="006474B8"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%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</w:t>
      </w:r>
    </w:p>
    <w:p w:rsidR="00411BC9" w:rsidRPr="00411BC9" w:rsidRDefault="00411BC9" w:rsidP="00411BC9">
      <w:pPr>
        <w:tabs>
          <w:tab w:val="left" w:pos="567"/>
        </w:tabs>
        <w:spacing w:after="20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  <w:r w:rsidRPr="00411BC9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 xml:space="preserve">          Donacije vjerskim zajednicama</w:t>
      </w:r>
    </w:p>
    <w:p w:rsidR="00411BC9" w:rsidRDefault="00411BC9" w:rsidP="00411BC9">
      <w:pPr>
        <w:pStyle w:val="Odlomakpopisa"/>
        <w:numPr>
          <w:ilvl w:val="0"/>
          <w:numId w:val="17"/>
        </w:numPr>
        <w:spacing w:after="200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 </w:t>
      </w:r>
      <w:r w:rsidR="00ED1082" w:rsidRPr="00411BC9">
        <w:rPr>
          <w:rFonts w:ascii="Calibri" w:hAnsi="Calibri"/>
          <w:i/>
          <w:sz w:val="24"/>
        </w:rPr>
        <w:t>Donacija Riječkoj nadbiskupiji 3.750 k</w:t>
      </w:r>
      <w:r>
        <w:rPr>
          <w:rFonts w:ascii="Calibri" w:hAnsi="Calibri"/>
          <w:i/>
          <w:sz w:val="24"/>
        </w:rPr>
        <w:t>n.</w:t>
      </w:r>
    </w:p>
    <w:p w:rsidR="00411BC9" w:rsidRDefault="00411BC9" w:rsidP="00411BC9">
      <w:pPr>
        <w:spacing w:after="200"/>
        <w:ind w:left="567"/>
        <w:jc w:val="both"/>
        <w:rPr>
          <w:rFonts w:ascii="Calibri" w:hAnsi="Calibri"/>
          <w:i/>
          <w:noProof/>
          <w:sz w:val="24"/>
        </w:rPr>
      </w:pPr>
      <w:r w:rsidRPr="00411BC9">
        <w:rPr>
          <w:rFonts w:ascii="Calibri" w:hAnsi="Calibri"/>
          <w:b/>
          <w:i/>
          <w:noProof/>
          <w:sz w:val="24"/>
        </w:rPr>
        <w:t>T</w:t>
      </w:r>
      <w:r w:rsidR="00ED1082" w:rsidRPr="00411BC9">
        <w:rPr>
          <w:rFonts w:ascii="Calibri" w:hAnsi="Calibri"/>
          <w:b/>
          <w:i/>
          <w:noProof/>
          <w:sz w:val="24"/>
        </w:rPr>
        <w:t>ekuća donacija</w:t>
      </w:r>
    </w:p>
    <w:p w:rsidR="00AE5068" w:rsidRPr="00411BC9" w:rsidRDefault="00411BC9" w:rsidP="00411BC9">
      <w:pPr>
        <w:spacing w:after="200"/>
        <w:ind w:left="567"/>
        <w:jc w:val="both"/>
        <w:rPr>
          <w:rFonts w:ascii="Calibri" w:hAnsi="Calibri"/>
          <w:i/>
          <w:noProof/>
          <w:sz w:val="24"/>
        </w:rPr>
      </w:pPr>
      <w:r>
        <w:rPr>
          <w:rFonts w:ascii="Calibri" w:hAnsi="Calibri"/>
          <w:i/>
          <w:noProof/>
          <w:sz w:val="24"/>
        </w:rPr>
        <w:t xml:space="preserve">1).  </w:t>
      </w:r>
      <w:r w:rsidR="00ED1082" w:rsidRPr="00411BC9">
        <w:rPr>
          <w:rFonts w:ascii="Calibri" w:hAnsi="Calibri"/>
          <w:i/>
          <w:noProof/>
          <w:sz w:val="24"/>
        </w:rPr>
        <w:t xml:space="preserve"> Danijelu Boroviću za knjigu Prelet za RH 19.900 kn</w:t>
      </w:r>
    </w:p>
    <w:p w:rsidR="00F17B84" w:rsidRDefault="00F17B84" w:rsidP="00411BC9">
      <w:pPr>
        <w:spacing w:after="200" w:line="240" w:lineRule="auto"/>
        <w:ind w:firstLine="567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411BC9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Ostal</w:t>
      </w:r>
      <w:r w:rsidR="006827A7" w:rsidRPr="00411BC9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e tekuće donacije</w:t>
      </w:r>
      <w:r w:rsidR="006827A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575.000,00 kn. Spisak doniranih j eu tabeli u nastavku.</w:t>
      </w:r>
    </w:p>
    <w:tbl>
      <w:tblPr>
        <w:tblStyle w:val="Srednjareetka3-Isticanje6"/>
        <w:tblW w:w="912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53"/>
        <w:gridCol w:w="1506"/>
      </w:tblGrid>
      <w:tr w:rsidR="00411BC9" w:rsidRPr="00411BC9" w:rsidTr="000A6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F17B84" w:rsidRPr="00411BC9" w:rsidRDefault="00F17B84" w:rsidP="00411BC9">
            <w:pPr>
              <w:ind w:left="142"/>
              <w:jc w:val="center"/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5953" w:type="dxa"/>
            <w:hideMark/>
          </w:tcPr>
          <w:p w:rsidR="00F17B84" w:rsidRPr="00411BC9" w:rsidRDefault="00F17B84" w:rsidP="00411BC9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506" w:type="dxa"/>
            <w:hideMark/>
          </w:tcPr>
          <w:p w:rsidR="00F17B84" w:rsidRPr="00411BC9" w:rsidRDefault="00F17B84" w:rsidP="00411BC9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 w:val="0"/>
                <w:i/>
                <w:noProof/>
                <w:color w:val="000000" w:themeColor="text1"/>
                <w:sz w:val="18"/>
                <w:szCs w:val="18"/>
                <w:lang w:eastAsia="hr-HR"/>
              </w:rPr>
              <w:t>Duguje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I-16 DONACIJA UDPDR VILA VELEB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10.000,00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DONACIJA PO ODLUCIUR.BR: 7161/19UDRUGA BRAN.IZ DOM.RATA JAV.UST.NAC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  6.000,00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sred.KUGLAČKI KLUB PLITVICE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11.000,00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sred.UDRUGA SPECIJALACA DOMOVINSKOG RATA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37.000,00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sred.HKUD 'VRILO'-LOVINAC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  7.000,00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sred.ŠAHOVSKI KLUB 'KORENICA' KORENICA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  3.000,00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sred.LOKALNA AKCIJSKA GRUPA U RIBARSTVU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25.000,00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sred.NOGOMETNI KLUB PERUŠIĆ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10.000,00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sred.KUGLAČKI KLUB RAKOVICA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11.000,00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sred.NK LIKA 95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12.000,00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sred.NK EUGEN KVATERNIK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11.000,00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sred.'LEA'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  5.000,00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sred.KICKBOXING KLUB TIGAR SLUNJ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  5.000,00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OD DODJELI FINAN.SREDSTAVAUR.BIC</w:t>
            </w:r>
            <w:r w:rsid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IKLISTIČKI KLUB 'CRNA KRALJICA“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10.000,00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UG.O DODJELI FINAN.SRED.LIKOVNA UDRUGA 'LIKA'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  3.000,00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UR.BR.10590 UG.O DODJELI FINA.SRED.LOKALNA AKCIJSKA GRUPA  LIKA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65.000,00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UG.O DODJELI FINAN.SREDSTAVAPLANINARSKO DRUŠTVO MRSINJ KORENICA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  3.000,00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UG.O DODJELI FINAN.SREDSTAVAŽENSKI KOŠARKAŠKI KLUB OTOČAC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10.000,00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UG.O DODJELI FINA.SREDSTAVAZAKLADA ZA STUDENTE VELEUČILIŠTA U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  3.000,00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UG.O DODJELI FINA.SREDSTAVAUDRUGA ŽENA SPORTSKE REKREACIJE OTO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  5.000,00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UG.O DODJELI FINAN.SREDSTAVAŽENSKI KOŠARKAŠKI KLUB  GOSPIĆ  GOS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15.000,00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UG.O DODJELI FINAN.SREDSTAVANOGOMETNI KLUB SLUNJ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11.000,00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UG.O DODJELI FINAN.SREDSTAVAZSLSŽ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30.000,00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sred.KUGLAČKI KLUB 'KARLOBAG'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11.000,00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sred.HRVATSKI CENTAR ZA AUTOHTONE VRSTE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10.000,00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sred.JE MI MLADI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11.000,00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sred.ASTRONOMSKO DRUŠT.KORENICA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10.000,00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sred.ŽKK PLITVICE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15.000,00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sred.HGSS - STANICA GOSPIĆ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70.000,00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sred.HRVATSKA AKADEMSKA ZAJEDNICA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15.000,00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sred.KONJIČKI KLUB 'ANA'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  3.000,00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sred.RUKOMETNI KLUB 'PERUŠIĆ'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12.000,00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sred.ZIR-ZAJEDNICA I RAZVOJ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  5.000,00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sred.ŽENSKI RUKOMETNI KLUB DRENAK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  8.000,00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sred.UDRUGA HVIDR-A SABORSKO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12.000,00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finanijskih sred.UDRUGA INOVATIVNI PROJEKTI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  3.000,00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sred.HHS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30.000,00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sred.PLANINARSKI SAVEZ LIČKO-SENJSKE ŽUP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15.000,00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sred.HK METALAC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12.000,00    </w:t>
            </w:r>
          </w:p>
        </w:tc>
      </w:tr>
      <w:tr w:rsidR="00F17B84" w:rsidRPr="00411BC9" w:rsidTr="000A68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sred.ATLETSKI KLUB PLITVICE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10.000,00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plaćanje računaUPRIS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  3.000,00    </w:t>
            </w:r>
          </w:p>
        </w:tc>
      </w:tr>
      <w:tr w:rsidR="00F17B84" w:rsidRPr="00411BC9" w:rsidTr="000A68C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381190000000</w:t>
            </w:r>
          </w:p>
        </w:tc>
        <w:tc>
          <w:tcPr>
            <w:tcW w:w="5953" w:type="dxa"/>
            <w:shd w:val="clear" w:color="auto" w:fill="auto"/>
            <w:hideMark/>
          </w:tcPr>
          <w:p w:rsidR="00F17B84" w:rsidRPr="000A68CB" w:rsidRDefault="00F17B84" w:rsidP="00F17B84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</w:pPr>
            <w:r w:rsidRPr="000A68CB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18"/>
                <w:szCs w:val="18"/>
                <w:lang w:eastAsia="hr-HR"/>
              </w:rPr>
              <w:t>ugovor o dodjeli financijskih sred.NOGOMETNI KLUB PLITVICE</w:t>
            </w:r>
          </w:p>
        </w:tc>
        <w:tc>
          <w:tcPr>
            <w:tcW w:w="1506" w:type="dxa"/>
            <w:shd w:val="clear" w:color="auto" w:fill="auto"/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  12.000,00    </w:t>
            </w:r>
          </w:p>
        </w:tc>
      </w:tr>
      <w:tr w:rsidR="00F17B84" w:rsidRPr="00411BC9" w:rsidTr="000A6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000000" w:themeColor="text1"/>
                <w:sz w:val="20"/>
                <w:szCs w:val="18"/>
                <w:lang w:eastAsia="hr-HR"/>
              </w:rPr>
              <w:t> 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F17B84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>ukupno:</w:t>
            </w: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17B84" w:rsidRPr="00411BC9" w:rsidRDefault="00F17B84" w:rsidP="00AE5068">
            <w:pPr>
              <w:ind w:left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</w:pPr>
            <w:r w:rsidRPr="00411BC9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18"/>
                <w:lang w:eastAsia="hr-HR"/>
              </w:rPr>
              <w:t xml:space="preserve">                 575.000,00    </w:t>
            </w:r>
          </w:p>
        </w:tc>
      </w:tr>
    </w:tbl>
    <w:p w:rsidR="00F17B84" w:rsidRDefault="00F17B84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E00A27" w:rsidRDefault="00AE5068" w:rsidP="000A68CB">
      <w:pPr>
        <w:spacing w:after="200" w:line="240" w:lineRule="auto"/>
        <w:ind w:firstLine="567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Pr="000A68CB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Kap</w:t>
      </w:r>
      <w:r w:rsidR="000A68CB" w:rsidRPr="000A68CB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i</w:t>
      </w:r>
      <w:r w:rsidRPr="000A68CB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talne donacije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iznose 3</w:t>
      </w:r>
      <w:r w:rsidR="00E00A2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.126.500 i odnose se na donaciju JU Rskovica – temeljem sporazuma o financiranju dijela troškova za prezenatacijski centar.</w:t>
      </w:r>
    </w:p>
    <w:p w:rsidR="000A68CB" w:rsidRPr="006474B8" w:rsidRDefault="000A68CB" w:rsidP="000A68CB">
      <w:pPr>
        <w:spacing w:after="200" w:line="240" w:lineRule="auto"/>
        <w:ind w:firstLine="567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0A68CB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Kapitalne pomoći trgovačim društvima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u iznosu 754.825 odnosi se na Vodovod Korenica d.o.o. a isplaćena je temeljem sporazuma za sanaciju vodovoda radi sprečavanje gubitka vode.</w:t>
      </w:r>
    </w:p>
    <w:p w:rsidR="006474B8" w:rsidRDefault="00E00A27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Naknada za štete </w:t>
      </w:r>
      <w:r w:rsidR="00A4679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iznose 1.286.816 kn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manje su za 45</w:t>
      </w:r>
      <w:r w:rsidR="006474B8"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%.</w:t>
      </w:r>
      <w:r w:rsidR="00AE506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="006474B8"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N</w:t>
      </w:r>
      <w:r w:rsidR="000A68C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a</w:t>
      </w:r>
      <w:r w:rsidR="00AE506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jveća stavka</w:t>
      </w:r>
      <w:r w:rsidR="000A68C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="00AE506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je naknada štete ADG za izgubl</w:t>
      </w:r>
      <w:r w:rsidR="00A4679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jeni spor u iznosu 1.079.778 kn</w:t>
      </w:r>
      <w:r w:rsidR="000A68CB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</w:t>
      </w:r>
    </w:p>
    <w:p w:rsidR="006474B8" w:rsidRPr="006474B8" w:rsidRDefault="006474B8" w:rsidP="006474B8">
      <w:pPr>
        <w:spacing w:after="200" w:line="36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AOP 281  UKUPNI RASHODI POSLOVANJA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poslovne 201</w:t>
      </w:r>
      <w:r w:rsidR="00A4679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9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. god. iznosi  </w:t>
      </w:r>
      <w:r w:rsidR="00A4679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286.930.837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kn i u odnosu na poslovnu 201</w:t>
      </w:r>
      <w:r w:rsidR="00A4679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8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. godinu veći  su za  </w:t>
      </w:r>
      <w:r w:rsidR="00A4679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10,9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%.</w:t>
      </w:r>
    </w:p>
    <w:p w:rsidR="006474B8" w:rsidRPr="006474B8" w:rsidRDefault="006474B8" w:rsidP="006474B8">
      <w:pPr>
        <w:spacing w:after="200" w:line="36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 xml:space="preserve"> AOP 282 VIŠAK PRIHODA POSLOVANJA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poslovne 201</w:t>
      </w:r>
      <w:r w:rsidR="00A4679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9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. god. iznosi  </w:t>
      </w:r>
      <w:r w:rsidR="00A4679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116.775.431 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kn i u odnosu na poslovnu 201</w:t>
      </w:r>
      <w:r w:rsidR="00A4679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8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. godinu </w:t>
      </w:r>
      <w:r w:rsidR="00A4679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manji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su  za </w:t>
      </w:r>
      <w:r w:rsidR="00A4679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9,2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%.</w:t>
      </w:r>
    </w:p>
    <w:p w:rsidR="006474B8" w:rsidRPr="006474B8" w:rsidRDefault="006474B8" w:rsidP="006474B8">
      <w:pPr>
        <w:spacing w:after="200" w:line="36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AOP 286  OBRAČUNATI PRIHODI POSLOVANJA  -</w:t>
      </w:r>
      <w:r w:rsidR="00A4679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nenaplaćeni iznose 5.625.388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kn  i u odnosu na poslovnu 201</w:t>
      </w:r>
      <w:r w:rsidR="00A4679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8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. </w:t>
      </w:r>
      <w:r w:rsidR="00A4679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manj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i su za  </w:t>
      </w:r>
      <w:r w:rsidR="00A4679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9,5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%</w:t>
      </w:r>
    </w:p>
    <w:p w:rsidR="00760D39" w:rsidRDefault="00760D39" w:rsidP="00760D39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  <w:t xml:space="preserve">Bilješka br. 2.3..  </w:t>
      </w:r>
      <w:r w:rsidRPr="006474B8"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  <w:t xml:space="preserve">Prihodi </w:t>
      </w:r>
      <w:r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  <w:t>od nefiancijske imovine</w:t>
      </w:r>
    </w:p>
    <w:p w:rsidR="00760D39" w:rsidRPr="006474B8" w:rsidRDefault="00760D39" w:rsidP="00760D39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</w:p>
    <w:p w:rsidR="006474B8" w:rsidRDefault="006474B8" w:rsidP="006474B8">
      <w:pPr>
        <w:spacing w:after="200" w:line="36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 xml:space="preserve">AOP 289   PrIhodi od prodaje nefinancijske imovine 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iznose </w:t>
      </w:r>
      <w:r w:rsidR="00A4679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18.147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kn </w:t>
      </w:r>
      <w:r w:rsidR="00A4679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veći su u onosu na poslovnu 2018. godinu 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i odnose se na prodaju otpisane i rashodovne imovine.</w:t>
      </w:r>
    </w:p>
    <w:p w:rsidR="00760D39" w:rsidRDefault="00760D39" w:rsidP="00760D39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  <w:t>Bilješka br. 2.4..  Raskod</w:t>
      </w:r>
      <w:r w:rsidRPr="006474B8"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  <w:t xml:space="preserve">i </w:t>
      </w:r>
      <w:r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  <w:t>od nefiancijske imovine</w:t>
      </w:r>
    </w:p>
    <w:p w:rsidR="00760D39" w:rsidRPr="00760D39" w:rsidRDefault="00760D39" w:rsidP="00760D39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</w:p>
    <w:p w:rsidR="00760D39" w:rsidRPr="006474B8" w:rsidRDefault="00760D39" w:rsidP="006474B8">
      <w:pPr>
        <w:spacing w:after="200" w:line="36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760D39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AOP 289</w:t>
      </w:r>
      <w:r w:rsidRPr="00760D39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</w:t>
      </w:r>
      <w:r w:rsidRPr="00760D39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Rashodi od prodaje nefinancijske imovine</w:t>
      </w:r>
      <w:r w:rsidRPr="00760D39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iznose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31.966.792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kn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veći su u onosu na poslovnu 2018. godinu za 45,5% 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i odnose se na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nabavku imovine potrebne za obavljanje djelatnosti, te investciju u imovinu kojom štiti prirodu odnosno sprečava veći utjecaj čovjeka na istu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</w:t>
      </w:r>
    </w:p>
    <w:p w:rsidR="006474B8" w:rsidRPr="006474B8" w:rsidRDefault="006474B8" w:rsidP="006474B8">
      <w:pPr>
        <w:spacing w:after="200" w:line="36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AOP 403 UKUPNI PRIHODI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iznose </w:t>
      </w:r>
      <w:r w:rsidR="004406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403.724.415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kn i veći su za </w:t>
      </w:r>
      <w:r w:rsidR="004406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4,2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% od prihoda ostvarenih u 201</w:t>
      </w:r>
      <w:r w:rsidR="004406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8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 godini</w:t>
      </w:r>
    </w:p>
    <w:p w:rsidR="006474B8" w:rsidRPr="006474B8" w:rsidRDefault="006474B8" w:rsidP="006474B8">
      <w:pPr>
        <w:spacing w:after="200" w:line="36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 xml:space="preserve">AOP 404 UKUPNI RASHODI 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iznose    </w:t>
      </w:r>
      <w:r w:rsidR="004406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318.697.629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kn i i veći su za </w:t>
      </w:r>
      <w:r w:rsidR="004406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13,6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% od </w:t>
      </w:r>
      <w:r w:rsidR="004406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rashod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a ostvarenih u 201</w:t>
      </w:r>
      <w:r w:rsidR="004406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8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 godini</w:t>
      </w:r>
    </w:p>
    <w:p w:rsidR="006474B8" w:rsidRPr="006474B8" w:rsidRDefault="006474B8" w:rsidP="006474B8">
      <w:pPr>
        <w:spacing w:after="200" w:line="36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 xml:space="preserve">AOP 405 UKUPAN VIŠAK PRIHODA      iznosi   </w:t>
      </w:r>
      <w:r w:rsidR="004406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84.826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="004406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786 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kn i </w:t>
      </w:r>
      <w:r w:rsidR="004406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manj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i je za </w:t>
      </w:r>
      <w:r w:rsidR="004406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21,4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% u odnosu na poslovnu 201</w:t>
      </w:r>
      <w:r w:rsidR="004406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8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. </w:t>
      </w:r>
      <w:r w:rsidR="0053525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godinu</w:t>
      </w:r>
    </w:p>
    <w:p w:rsidR="006474B8" w:rsidRPr="006474B8" w:rsidRDefault="006474B8" w:rsidP="006474B8">
      <w:pPr>
        <w:spacing w:after="200" w:line="36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AOP 407 Obračunati prihod</w:t>
      </w:r>
      <w:r w:rsidR="004406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– preneseni izn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o</w:t>
      </w:r>
      <w:r w:rsidR="004406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s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i </w:t>
      </w:r>
      <w:r w:rsidR="004406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311.336.685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kn isti je veći za </w:t>
      </w:r>
      <w:r w:rsidR="004406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38,5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% u odnosu na 201</w:t>
      </w:r>
      <w:r w:rsidR="0053525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8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</w:t>
      </w:r>
      <w:r w:rsidR="0053525D" w:rsidRPr="0053525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="0053525D"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godinu</w:t>
      </w:r>
    </w:p>
    <w:p w:rsidR="006474B8" w:rsidRPr="006474B8" w:rsidRDefault="006474B8" w:rsidP="006474B8">
      <w:pPr>
        <w:spacing w:after="200" w:line="36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AOP 628 manjak primitaka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od financijske imovine preneseni    1.200.000 kn</w:t>
      </w:r>
    </w:p>
    <w:p w:rsidR="006474B8" w:rsidRPr="006474B8" w:rsidRDefault="006474B8" w:rsidP="006474B8">
      <w:pPr>
        <w:spacing w:after="200" w:line="36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temeljem  navedenog utvrđuje se sljedeći rezultat poslovanja:</w:t>
      </w:r>
    </w:p>
    <w:tbl>
      <w:tblPr>
        <w:tblStyle w:val="PlainTable4"/>
        <w:tblW w:w="9072" w:type="dxa"/>
        <w:tblLook w:val="04A0" w:firstRow="1" w:lastRow="0" w:firstColumn="1" w:lastColumn="0" w:noHBand="0" w:noVBand="1"/>
      </w:tblPr>
      <w:tblGrid>
        <w:gridCol w:w="7323"/>
        <w:gridCol w:w="1749"/>
      </w:tblGrid>
      <w:tr w:rsidR="006474B8" w:rsidRPr="006474B8" w:rsidTr="0053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3" w:type="dxa"/>
          </w:tcPr>
          <w:p w:rsidR="006474B8" w:rsidRPr="006474B8" w:rsidRDefault="006474B8" w:rsidP="006474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AOP  629  UKUPNI PRIHODI I PRIMICI</w:t>
            </w:r>
          </w:p>
        </w:tc>
        <w:tc>
          <w:tcPr>
            <w:tcW w:w="1749" w:type="dxa"/>
            <w:vAlign w:val="center"/>
          </w:tcPr>
          <w:p w:rsidR="006474B8" w:rsidRPr="006474B8" w:rsidRDefault="0053525D" w:rsidP="0053525D">
            <w:pPr>
              <w:spacing w:after="200"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403.724.415</w:t>
            </w:r>
            <w:r w:rsidR="006474B8"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 xml:space="preserve"> kn</w:t>
            </w:r>
          </w:p>
        </w:tc>
      </w:tr>
      <w:tr w:rsidR="006474B8" w:rsidRPr="006474B8" w:rsidTr="0053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3" w:type="dxa"/>
          </w:tcPr>
          <w:p w:rsidR="006474B8" w:rsidRPr="006474B8" w:rsidRDefault="006474B8" w:rsidP="006474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AOP  630 UKUPNI RASHODI I IZDACI</w:t>
            </w:r>
          </w:p>
        </w:tc>
        <w:tc>
          <w:tcPr>
            <w:tcW w:w="1749" w:type="dxa"/>
            <w:vAlign w:val="center"/>
          </w:tcPr>
          <w:p w:rsidR="006474B8" w:rsidRPr="006474B8" w:rsidRDefault="0053525D" w:rsidP="0053525D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381.897.629</w:t>
            </w:r>
            <w:r w:rsidR="006474B8"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 xml:space="preserve"> kn</w:t>
            </w:r>
          </w:p>
        </w:tc>
      </w:tr>
      <w:tr w:rsidR="006474B8" w:rsidRPr="006474B8" w:rsidTr="0053525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3" w:type="dxa"/>
          </w:tcPr>
          <w:p w:rsidR="006474B8" w:rsidRPr="006474B8" w:rsidRDefault="006474B8" w:rsidP="006474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 xml:space="preserve">AOP 631  VIŠAK PRIHODA I PRIMITAKA  </w:t>
            </w:r>
          </w:p>
        </w:tc>
        <w:tc>
          <w:tcPr>
            <w:tcW w:w="1749" w:type="dxa"/>
            <w:vAlign w:val="center"/>
          </w:tcPr>
          <w:p w:rsidR="006474B8" w:rsidRPr="006474B8" w:rsidRDefault="0053525D" w:rsidP="0053525D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0"/>
                <w:lang w:eastAsia="hr-HR"/>
              </w:rPr>
              <w:t xml:space="preserve"> 84.826.786</w:t>
            </w:r>
            <w:r w:rsidR="006474B8" w:rsidRPr="006474B8"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0"/>
                <w:lang w:eastAsia="hr-HR"/>
              </w:rPr>
              <w:t xml:space="preserve"> kn</w:t>
            </w:r>
          </w:p>
        </w:tc>
      </w:tr>
      <w:tr w:rsidR="006474B8" w:rsidRPr="006474B8" w:rsidTr="0053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3" w:type="dxa"/>
          </w:tcPr>
          <w:p w:rsidR="006474B8" w:rsidRPr="006474B8" w:rsidRDefault="006474B8" w:rsidP="006474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AOP 633  VIŠAK PRIHODA i PRIMITAKA  PRENESENI</w:t>
            </w:r>
          </w:p>
        </w:tc>
        <w:tc>
          <w:tcPr>
            <w:tcW w:w="1749" w:type="dxa"/>
            <w:vAlign w:val="center"/>
          </w:tcPr>
          <w:p w:rsidR="006474B8" w:rsidRPr="006474B8" w:rsidRDefault="0053525D" w:rsidP="0053525D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310.136.385</w:t>
            </w:r>
            <w:r w:rsidR="006474B8"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 xml:space="preserve"> kn</w:t>
            </w:r>
          </w:p>
        </w:tc>
      </w:tr>
      <w:tr w:rsidR="006474B8" w:rsidRPr="006474B8" w:rsidTr="0053525D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3" w:type="dxa"/>
          </w:tcPr>
          <w:p w:rsidR="006474B8" w:rsidRPr="006474B8" w:rsidRDefault="006474B8" w:rsidP="006474B8">
            <w:pPr>
              <w:spacing w:after="200" w:line="276" w:lineRule="auto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AOP 635  VIŠAK  PRIHODA I PRIMITAKA RASPOLOŽIV U SLJEDEĆEM RAZDOBLJU</w:t>
            </w:r>
          </w:p>
        </w:tc>
        <w:tc>
          <w:tcPr>
            <w:tcW w:w="1749" w:type="dxa"/>
            <w:vAlign w:val="center"/>
          </w:tcPr>
          <w:p w:rsidR="006474B8" w:rsidRPr="006474B8" w:rsidRDefault="0053525D" w:rsidP="0053525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>394.963.171</w:t>
            </w:r>
            <w:r w:rsidR="006474B8" w:rsidRPr="006474B8">
              <w:rPr>
                <w:rFonts w:ascii="Calibri" w:eastAsia="Times New Roman" w:hAnsi="Calibri" w:cs="Times New Roman"/>
                <w:i/>
                <w:noProof/>
                <w:sz w:val="24"/>
                <w:szCs w:val="20"/>
                <w:lang w:eastAsia="hr-HR"/>
              </w:rPr>
              <w:t xml:space="preserve"> kn</w:t>
            </w:r>
          </w:p>
        </w:tc>
      </w:tr>
    </w:tbl>
    <w:p w:rsidR="006474B8" w:rsidRPr="006474B8" w:rsidRDefault="006474B8" w:rsidP="006474B8">
      <w:pPr>
        <w:spacing w:after="200" w:line="360" w:lineRule="auto"/>
        <w:ind w:left="708"/>
        <w:contextualSpacing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Višak Javne ustanove Nacionalni park Plitvička jezera u poslovnoj 201</w:t>
      </w:r>
      <w:r w:rsidR="0053525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godini iznosi </w:t>
      </w:r>
      <w:r w:rsidR="0053525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84.826.786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kn. Na ovaj višak obračunati će se porez na dobit koji će istu umanjiti po obračunu istog. Stanje novčanih sredstava Ustanove na dan </w:t>
      </w:r>
      <w:r w:rsidR="0053525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31.12.2019.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godine iznosi</w:t>
      </w:r>
      <w:r w:rsidR="0053525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389.655.380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kn. Prosječan broj zaposlenih u Ustanovi na osnovi stanja krajem izvještajnog razdoblja (cijeli broj) je 1.0</w:t>
      </w:r>
      <w:r w:rsidR="0053525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54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djelatnika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</w:t>
      </w:r>
    </w:p>
    <w:p w:rsidR="006474B8" w:rsidRPr="006474B8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  <w:t xml:space="preserve">Bilješka br. 3.:  </w:t>
      </w:r>
      <w:r w:rsidRPr="006474B8">
        <w:rPr>
          <w:rFonts w:ascii="Calibri" w:eastAsia="Times New Roman" w:hAnsi="Calibri" w:cs="Times New Roman"/>
          <w:b/>
          <w:i/>
          <w:noProof/>
          <w:sz w:val="26"/>
          <w:szCs w:val="26"/>
          <w:bdr w:val="single" w:sz="4" w:space="0" w:color="auto"/>
          <w:lang w:eastAsia="hr-HR"/>
        </w:rPr>
        <w:t>Bilješke</w:t>
      </w:r>
      <w:r w:rsidRPr="006474B8"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  <w:t xml:space="preserve"> uz Bilancu Ustanove 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  <w:t>Bilješka br. 3.1. – Imovina Ustanove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color w:val="8064A2"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AOP 001 Neproizvedne dugotrajna imovina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Sadašnja vrijednost neproizveden dugotrajne imovine iznosi </w:t>
      </w:r>
      <w:r w:rsidR="003B1236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2.299.033</w:t>
      </w:r>
      <w:r w:rsidR="00FA5BF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.147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kn i  u odnosu na 201</w:t>
      </w:r>
      <w:r w:rsidR="003B1236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8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godin</w:t>
      </w:r>
      <w:r w:rsidR="00FA5BF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bilježi porast od</w:t>
      </w:r>
      <w:r w:rsidR="003B1236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4,4% </w:t>
      </w:r>
      <w:r w:rsidR="00FA5BF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Ustanova je otkupila zemljšte u vrijednosti od </w:t>
      </w:r>
      <w:r w:rsidR="003B1236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9.</w:t>
      </w:r>
      <w:r w:rsidR="00FA5BF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169.796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kn</w:t>
      </w:r>
      <w:r w:rsidR="00FA5BF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BA343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-</w:t>
      </w:r>
      <w:r w:rsidR="00FA5BF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poljoprivredno zemljite u iznosu 7.227.555 kn, građevinsko zemljište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 vrijenosti od </w:t>
      </w:r>
      <w:r w:rsidR="00FA5BF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378.130 kn i ostala zemljišta u vrijednosti 1.564.111 kn.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Ustanova otkupom zemljišta u užoj osjetljivoj zoni parka štiti prirodni fenomen Plitvičkih Jezera, zaustavlja nekontroliranu gradnju i čuva staništa biljnog i životinskog svijeta.</w:t>
      </w:r>
    </w:p>
    <w:p w:rsidR="006474B8" w:rsidRPr="006474B8" w:rsidRDefault="003A23E9" w:rsidP="00FC17B6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Us</w:t>
      </w:r>
      <w:r w:rsidR="006474B8"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tanova 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je </w:t>
      </w:r>
      <w:r w:rsidR="00FA5BF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 2019 godini</w:t>
      </w:r>
      <w:r w:rsidR="006474B8"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ulaž</w:t>
      </w:r>
      <w:r w:rsidR="00FA5BF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ila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255,812 kn u licence. Izvrš</w:t>
      </w:r>
      <w:r w:rsidR="00FC17B6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en je prijenos sa ulaganja u tuđoj imovini radi prava korištenja iznos 297.043 kune, na dugotrajnu imovinu konto 02146 – spomenici. Ustanova je kupila Planu „Špoljarić“ u koju je investirala dok ju je koristila. Obračuna</w:t>
      </w:r>
      <w:r w:rsidR="0073139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t </w:t>
      </w:r>
      <w:r w:rsidR="00FC17B6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je ispravka vrijenosti 22.566 kn</w:t>
      </w:r>
      <w:r w:rsidR="0073139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Svi ovi poslovni događaji uslovil su navedena povećanja na predmetnoj imovini.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</w:p>
    <w:p w:rsidR="006474B8" w:rsidRPr="006474B8" w:rsidRDefault="0090208D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 007 </w:t>
      </w:r>
      <w:r w:rsidR="006474B8"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Proizvedena dugotrajna imovina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Vrijednost proizvedene dugotrajne imovine Ustan</w:t>
      </w:r>
      <w:r w:rsidR="0073139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ove na dan 31.12.2019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godine iskazana je u iznosu </w:t>
      </w:r>
      <w:r w:rsidR="0073139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217.863.249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kn, </w:t>
      </w:r>
      <w:r w:rsidR="00EC0BC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i bilježi pad od 2,5%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a poslovni događaji i knjigovodstveni  obračuni uslovili su </w:t>
      </w:r>
      <w:r w:rsidR="0073139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smanjenje vrijednosti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sredstava proizvedene dugotraj</w:t>
      </w:r>
      <w:r w:rsidR="0073139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ne imovine Ustanove tijekom 2019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</w:t>
      </w:r>
      <w:r w:rsidR="0073139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godine.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Ustanova je u 201</w:t>
      </w:r>
      <w:r w:rsidR="0073139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godini uložila u građevinske objekte </w:t>
      </w:r>
      <w:r w:rsidR="00FF0E6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218.054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kn. </w:t>
      </w:r>
      <w:r w:rsidR="00FF0E6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i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izvršila ispravku konta građevinskih objekata u vrijednsoti </w:t>
      </w:r>
      <w:r w:rsidR="00FF0E6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62.912 </w:t>
      </w:r>
      <w:r w:rsidR="009A69B2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kn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FF0E6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te obračunta ja akontacija </w:t>
      </w:r>
      <w:r w:rsidR="00D0446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7.292.898</w:t>
      </w:r>
      <w:r w:rsidR="00FF0E6F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kn. 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Uastanova je u 201</w:t>
      </w:r>
      <w:r w:rsidR="009A69B2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godini uložila u</w:t>
      </w:r>
      <w:r w:rsidR="00F001E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postrojenja i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opremu </w:t>
      </w:r>
      <w:r w:rsidR="009A69B2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5.809.144 </w:t>
      </w:r>
      <w:r w:rsidR="005865B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kn</w:t>
      </w:r>
      <w:r w:rsidR="00F001E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5865B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(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 računala </w:t>
      </w:r>
      <w:r w:rsidR="009A69B2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i računalnu opremu 1.541.702 kn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u </w:t>
      </w:r>
      <w:r w:rsidR="006821C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uredsku opremu i namještaj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6821C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957.210</w:t>
      </w:r>
      <w:r w:rsidR="009A69B2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</w:t>
      </w:r>
      <w:r w:rsidR="00F001E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u komunikacijsku </w:t>
      </w:r>
      <w:r w:rsidR="006821C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1.129.713 kn</w:t>
      </w:r>
      <w:r w:rsidR="00F001E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u opremu za održavanje i zaštitu 641,715 kn</w:t>
      </w:r>
      <w:r w:rsidR="00E16A8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u medicinsku i labaratorijsku opremu </w:t>
      </w:r>
      <w:r w:rsidR="007502D3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78.016</w:t>
      </w:r>
      <w:r w:rsidR="00E16A8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</w:t>
      </w:r>
      <w:r w:rsidR="00E16A8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instrumente , uređaje i </w:t>
      </w:r>
      <w:r w:rsidR="007502D3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strojeve 40.723 kn. U </w:t>
      </w:r>
      <w:r w:rsidR="00852D7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raznu </w:t>
      </w:r>
      <w:r w:rsidR="007502D3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opremu je uloženo 1.795.233 kn u u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gostiteljsku opremu </w:t>
      </w:r>
      <w:r w:rsidR="007502D3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898.424 kn, Nabavljena je oprema – akumulatori, baterije, punjači u vrijednosti 229.998 kn, u alat je uloženo 959 kn u opremu-dalekozori, fotoaparati, videoprojekcije</w:t>
      </w:r>
      <w:r w:rsidR="005865B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7502D3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37.063 kn</w:t>
      </w:r>
      <w:r w:rsidR="00852D7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).</w:t>
      </w:r>
    </w:p>
    <w:p w:rsidR="006474B8" w:rsidRPr="00852D7D" w:rsidRDefault="006474B8" w:rsidP="00852D7D">
      <w:pPr>
        <w:jc w:val="both"/>
        <w:rPr>
          <w:rFonts w:ascii="Arial CE" w:eastAsia="Times New Roman" w:hAnsi="Arial CE" w:cs="Arial CE"/>
          <w:sz w:val="20"/>
          <w:szCs w:val="20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Oprema je otpisana u iznosu </w:t>
      </w:r>
      <w:r w:rsidR="005865B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1.726.068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kn radi dotr</w:t>
      </w:r>
      <w:r w:rsidR="005865B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ajlosti i zastarjelosti. Amortizacija je obračuanta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 vrijednosti </w:t>
      </w:r>
      <w:r w:rsidR="005865B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od </w:t>
      </w:r>
      <w:r w:rsidR="00852D7D">
        <w:rPr>
          <w:rFonts w:ascii="Arial CE" w:eastAsia="Times New Roman" w:hAnsi="Arial CE" w:cs="Arial CE"/>
          <w:sz w:val="20"/>
          <w:szCs w:val="20"/>
          <w:lang w:eastAsia="hr-HR"/>
        </w:rPr>
        <w:t>5.532.</w:t>
      </w:r>
      <w:r w:rsidR="005865BC">
        <w:rPr>
          <w:rFonts w:ascii="Arial CE" w:eastAsia="Times New Roman" w:hAnsi="Arial CE" w:cs="Arial CE"/>
          <w:sz w:val="20"/>
          <w:szCs w:val="20"/>
          <w:lang w:eastAsia="hr-HR"/>
        </w:rPr>
        <w:t>853</w:t>
      </w:r>
      <w:r w:rsidR="00852D7D">
        <w:rPr>
          <w:rFonts w:ascii="Arial CE" w:eastAsia="Times New Roman" w:hAnsi="Arial CE" w:cs="Arial CE"/>
          <w:sz w:val="20"/>
          <w:szCs w:val="20"/>
          <w:lang w:eastAsia="hr-HR"/>
        </w:rPr>
        <w:t xml:space="preserve"> kn.</w:t>
      </w:r>
    </w:p>
    <w:p w:rsidR="006474B8" w:rsidRDefault="00852D7D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 2019 </w:t>
      </w:r>
      <w:r w:rsidR="006474B8"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godini nabavljena 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je prevozni sredstava u vrijednosti </w:t>
      </w:r>
      <w:r w:rsidR="006474B8"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5.604.621</w:t>
      </w:r>
      <w:r w:rsidR="006474B8"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 , 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(12 osobih automobila u vrijednosti 1.800.884 kn, autobusi u vrijednosti 2,685.000 kn, kombi vozila u vrijednosti 187.872 kn, kamion u vrijednosti 238.000 kn</w:t>
      </w:r>
      <w:r w:rsidR="00D0446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, rovokopač u vrijednosti 693.064 kn)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6474B8"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dok je otpis istih iznosio 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127.945</w:t>
      </w:r>
      <w:r w:rsidR="006474B8"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 uz amortizaciju 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4.844.079</w:t>
      </w:r>
      <w:r w:rsidR="006474B8"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</w:t>
      </w:r>
    </w:p>
    <w:p w:rsidR="00D04465" w:rsidRDefault="00D04465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 2109 godini uloženo je u računalne programe 415.850 kn ui rash</w:t>
      </w:r>
      <w:r w:rsidR="00EC0BC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odovalo 170.319 kn oi amortizira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 iznos od 164.327 kn.</w:t>
      </w:r>
    </w:p>
    <w:p w:rsidR="0090208D" w:rsidRPr="006474B8" w:rsidRDefault="0090208D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024761" w:rsidRDefault="0090208D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AOP 0</w:t>
      </w:r>
      <w:r w:rsidR="00024761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42</w:t>
      </w: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 </w:t>
      </w:r>
      <w:r w:rsidR="00024761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Sitan inventar u uporabi </w:t>
      </w:r>
      <w:r w:rsidR="0002476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iznosi 22.998.122 kn a otpis isto </w:t>
      </w:r>
      <w:r w:rsidR="00CB47B6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22.998.122</w:t>
      </w:r>
      <w:r w:rsidR="0002476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kn.</w:t>
      </w:r>
    </w:p>
    <w:p w:rsidR="0090208D" w:rsidRDefault="000247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 2019 godini nabavljen je u vrijednosti 3.170.095 kn, otpisan  50% 1.539.723 kn.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Pr="005B0A0D" w:rsidRDefault="00CB47B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 051 </w:t>
      </w:r>
      <w:r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Dugotrajna </w:t>
      </w:r>
      <w:r w:rsidR="005B0A0D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financijska imovina u prirpremi</w:t>
      </w:r>
      <w:r w:rsidR="0090208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na dan 31.2.2019. godine iznosi</w:t>
      </w:r>
      <w:r w:rsidR="006474B8"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17.649.154 kn</w:t>
      </w:r>
      <w:r w:rsidR="005B0A0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 U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2019 godini uloženo je 10.502.021 kn, 10.479.361 kn u građevinske objekte i prevozna sredstva – čamac u pripremi 28.160 kn.</w:t>
      </w:r>
    </w:p>
    <w:p w:rsidR="005B0A0D" w:rsidRDefault="005B0A0D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Ulaganje u </w:t>
      </w:r>
      <w:r w:rsidR="00CB47B6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(</w:t>
      </w:r>
      <w:r w:rsidR="006474B8"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Lugrnica Čorkova uvala – 2.304.655 kn; </w:t>
      </w:r>
      <w:r w:rsidR="006474B8"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 Buffet Labudovac 127.995 kn; projektna dokumentacija hotel Bellevue 94.000 kn; projektna dokumentacija 116.960 kn; trgovina Jezerce 116.960 kn; Multimedijalno kongresni centar hotel Jezero projektna dokumentacij 380.000 kn; Restoran Poljana 105.000 kn; projektna dokumentacija caffe bar Poljana 95.000; projektna dokumentacija Korana caffe bar 85.000;</w:t>
      </w:r>
      <w:r w:rsidR="00EC0BC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projektna dokumentacija za asfatirane površine </w:t>
      </w:r>
      <w:r w:rsidR="00F95AE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123.100 kn; Ullaz I. 1.392.339 kn; Sportski centar Mukinje 5.393.503; dječje igralište Borje 343.359 kn.</w:t>
      </w:r>
    </w:p>
    <w:p w:rsidR="005B0A0D" w:rsidRDefault="005B0A0D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Pr="006474B8" w:rsidRDefault="00EC0BCD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 058 </w:t>
      </w:r>
      <w:r w:rsidR="006474B8"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Proizvedena kratkotrajna imovina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Iako je Pravilnikom o proračunskom računovodstvu predviđeno da se kratkotrajna imovina priznaje kao rashod odmah u trenutku nabave, budući da se Ustanova bavi djelatnošću trgovine i pružanja ugostiteljskih usluga sveukupna kratkotrajna imovina se priznaje u rashode tek u trenutku prodaje odnosno trošenja.</w:t>
      </w:r>
      <w:r w:rsidR="00972A37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 stanje zaliha na dan .122019. iznosi, 5.190.063 kn. 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Stanje </w:t>
      </w:r>
      <w:r w:rsidR="00972A37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zaliha za obavljanje djelatnosti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na dan 31.12.201</w:t>
      </w:r>
      <w:r w:rsidR="00F95AE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 godine iznosi</w:t>
      </w:r>
      <w:r w:rsidR="00F95AE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3.784.746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 kn</w:t>
      </w:r>
      <w:r w:rsidR="00F95AE5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 manje su za 11,1%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, a iskazan</w:t>
      </w:r>
      <w:r w:rsidR="00972A37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e su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po pojedinačnim kontima u slijedećoj tabeli: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30"/>
        <w:gridCol w:w="3575"/>
        <w:gridCol w:w="2278"/>
        <w:gridCol w:w="1984"/>
      </w:tblGrid>
      <w:tr w:rsidR="006474B8" w:rsidRPr="00F95AE5" w:rsidTr="00972A37">
        <w:tc>
          <w:tcPr>
            <w:tcW w:w="123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</w:tcPr>
          <w:p w:rsidR="006474B8" w:rsidRPr="00F95AE5" w:rsidRDefault="006474B8" w:rsidP="00647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AOP</w:t>
            </w:r>
          </w:p>
        </w:tc>
        <w:tc>
          <w:tcPr>
            <w:tcW w:w="357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70AD47"/>
          </w:tcPr>
          <w:p w:rsidR="006474B8" w:rsidRPr="00F95AE5" w:rsidRDefault="006474B8" w:rsidP="00647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NAZIV STAVKE</w:t>
            </w:r>
          </w:p>
        </w:tc>
        <w:tc>
          <w:tcPr>
            <w:tcW w:w="22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70AD47"/>
          </w:tcPr>
          <w:p w:rsidR="006474B8" w:rsidRPr="00F95AE5" w:rsidRDefault="006474B8" w:rsidP="00647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IZNOS/2017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70AD47"/>
          </w:tcPr>
          <w:p w:rsidR="006474B8" w:rsidRPr="00F95AE5" w:rsidRDefault="006474B8" w:rsidP="00647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IZNOS/2018</w:t>
            </w:r>
          </w:p>
        </w:tc>
      </w:tr>
      <w:tr w:rsidR="006474B8" w:rsidRPr="00F95AE5" w:rsidTr="00972A37">
        <w:tc>
          <w:tcPr>
            <w:tcW w:w="123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</w:tcPr>
          <w:p w:rsidR="006474B8" w:rsidRPr="00F95AE5" w:rsidRDefault="006474B8" w:rsidP="00F95A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1.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74B8" w:rsidRPr="00F95AE5" w:rsidRDefault="006474B8" w:rsidP="00F95A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2.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74B8" w:rsidRPr="00F95AE5" w:rsidRDefault="006474B8" w:rsidP="00F95A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74B8" w:rsidRPr="00F95AE5" w:rsidRDefault="006474B8" w:rsidP="00F95A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4.</w:t>
            </w:r>
          </w:p>
        </w:tc>
      </w:tr>
      <w:tr w:rsidR="006474B8" w:rsidRPr="00F95AE5" w:rsidTr="00972A37">
        <w:trPr>
          <w:trHeight w:val="76"/>
        </w:trPr>
        <w:tc>
          <w:tcPr>
            <w:tcW w:w="1230" w:type="dxa"/>
            <w:tcBorders>
              <w:left w:val="single" w:sz="4" w:space="0" w:color="FFFFFF"/>
              <w:right w:val="nil"/>
            </w:tcBorders>
            <w:shd w:val="clear" w:color="auto" w:fill="70AD47"/>
          </w:tcPr>
          <w:p w:rsidR="006474B8" w:rsidRPr="00F95AE5" w:rsidRDefault="006474B8" w:rsidP="00F95A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74B8" w:rsidRPr="00F95AE5" w:rsidRDefault="006474B8" w:rsidP="00F95A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74B8" w:rsidRPr="00F95AE5" w:rsidRDefault="006474B8" w:rsidP="00F95A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74B8" w:rsidRPr="00F95AE5" w:rsidRDefault="006474B8" w:rsidP="00F95A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</w:p>
        </w:tc>
      </w:tr>
      <w:tr w:rsidR="00F95AE5" w:rsidRPr="00F95AE5" w:rsidTr="00972A37">
        <w:trPr>
          <w:trHeight w:val="454"/>
        </w:trPr>
        <w:tc>
          <w:tcPr>
            <w:tcW w:w="1230" w:type="dxa"/>
            <w:tcBorders>
              <w:left w:val="single" w:sz="4" w:space="0" w:color="FFFFFF"/>
              <w:right w:val="nil"/>
            </w:tcBorders>
            <w:shd w:val="clear" w:color="auto" w:fill="70AD47"/>
          </w:tcPr>
          <w:p w:rsidR="00F95AE5" w:rsidRPr="00F95AE5" w:rsidRDefault="00F95AE5" w:rsidP="00F95A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06132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5AE5" w:rsidRPr="00F95AE5" w:rsidRDefault="00F95AE5" w:rsidP="00F95A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Zalihe goriva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5AE5" w:rsidRPr="00F95AE5" w:rsidRDefault="00F95AE5" w:rsidP="00F95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876.104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5AE5" w:rsidRPr="00F95AE5" w:rsidRDefault="00F95AE5" w:rsidP="00F95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593.032</w:t>
            </w:r>
          </w:p>
        </w:tc>
      </w:tr>
      <w:tr w:rsidR="00F95AE5" w:rsidRPr="00F95AE5" w:rsidTr="00972A37">
        <w:trPr>
          <w:trHeight w:val="454"/>
        </w:trPr>
        <w:tc>
          <w:tcPr>
            <w:tcW w:w="1230" w:type="dxa"/>
            <w:tcBorders>
              <w:left w:val="single" w:sz="4" w:space="0" w:color="FFFFFF"/>
              <w:right w:val="nil"/>
            </w:tcBorders>
            <w:shd w:val="clear" w:color="auto" w:fill="70AD47"/>
          </w:tcPr>
          <w:p w:rsidR="00F95AE5" w:rsidRPr="00F95AE5" w:rsidRDefault="00F95AE5" w:rsidP="00F95A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06133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5AE5" w:rsidRPr="00F95AE5" w:rsidRDefault="00F95AE5" w:rsidP="00F95A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Zalihe nmaterijala za proizvodnju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5AE5" w:rsidRPr="00F95AE5" w:rsidRDefault="00F95AE5" w:rsidP="00F95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1.028.812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5AE5" w:rsidRPr="00F95AE5" w:rsidRDefault="00F95AE5" w:rsidP="00F95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1.137.061</w:t>
            </w:r>
          </w:p>
        </w:tc>
      </w:tr>
      <w:tr w:rsidR="00F95AE5" w:rsidRPr="00F95AE5" w:rsidTr="00972A37">
        <w:trPr>
          <w:trHeight w:val="454"/>
        </w:trPr>
        <w:tc>
          <w:tcPr>
            <w:tcW w:w="1230" w:type="dxa"/>
            <w:tcBorders>
              <w:left w:val="single" w:sz="4" w:space="0" w:color="FFFFFF"/>
              <w:right w:val="nil"/>
            </w:tcBorders>
            <w:shd w:val="clear" w:color="auto" w:fill="70AD47"/>
          </w:tcPr>
          <w:p w:rsidR="00F95AE5" w:rsidRPr="00F95AE5" w:rsidRDefault="00F95AE5" w:rsidP="00F95A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06139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5AE5" w:rsidRPr="00F95AE5" w:rsidRDefault="00F95AE5" w:rsidP="00F95A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Zalihe ostalih materijala za rdovne potrebe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5AE5" w:rsidRPr="00F95AE5" w:rsidRDefault="00F95AE5" w:rsidP="00F95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2.353.467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5AE5" w:rsidRPr="00F95AE5" w:rsidRDefault="00F95AE5" w:rsidP="00F95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2.054.653</w:t>
            </w:r>
          </w:p>
        </w:tc>
      </w:tr>
      <w:tr w:rsidR="00F95AE5" w:rsidRPr="00F95AE5" w:rsidTr="00972A37">
        <w:trPr>
          <w:trHeight w:val="454"/>
        </w:trPr>
        <w:tc>
          <w:tcPr>
            <w:tcW w:w="1230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70AD47"/>
          </w:tcPr>
          <w:p w:rsidR="00F95AE5" w:rsidRPr="00F95AE5" w:rsidRDefault="00F95AE5" w:rsidP="00F95A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5AE5" w:rsidRPr="00F95AE5" w:rsidRDefault="00F95AE5" w:rsidP="00F95A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Ukupno: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5AE5" w:rsidRPr="00F95AE5" w:rsidRDefault="00F95AE5" w:rsidP="00F95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fldChar w:fldCharType="begin"/>
            </w: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instrText xml:space="preserve"> =SUM(ABOVE) </w:instrText>
            </w: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fldChar w:fldCharType="separate"/>
            </w: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>4.258.383</w:t>
            </w: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5AE5" w:rsidRPr="00F95AE5" w:rsidRDefault="00F95AE5" w:rsidP="00F95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</w:pPr>
            <w:r w:rsidRPr="00F95AE5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4"/>
                <w:szCs w:val="20"/>
                <w:lang w:eastAsia="hr-HR"/>
              </w:rPr>
              <w:t xml:space="preserve"> 3.784.746</w:t>
            </w:r>
          </w:p>
        </w:tc>
      </w:tr>
    </w:tbl>
    <w:p w:rsidR="00972A37" w:rsidRDefault="00972A37" w:rsidP="00972A37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972A37" w:rsidRPr="006474B8" w:rsidRDefault="00972A37" w:rsidP="00972A37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Stanje 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zaliha robe za daljnu prodaju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na dan 31.12.201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 godine iznosi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1.405.317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kn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 veće je za 55,4%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, </w:t>
      </w:r>
    </w:p>
    <w:p w:rsid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color w:val="8064A2"/>
          <w:sz w:val="24"/>
          <w:szCs w:val="24"/>
          <w:lang w:eastAsia="hr-HR"/>
        </w:rPr>
      </w:pPr>
    </w:p>
    <w:p w:rsidR="006474B8" w:rsidRPr="006474B8" w:rsidRDefault="00972A37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 064 </w:t>
      </w:r>
      <w:r w:rsidR="006474B8"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Novac u banci i blagajni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 okviru AOP-a 064 iskazana su ukupna sredstva na računu Ustanove u iznosu od </w:t>
      </w:r>
      <w:r w:rsidR="0062327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389.655.380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kn, u odnosu na prethodnu </w:t>
      </w:r>
      <w:r w:rsidR="0062327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veći s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</w:t>
      </w:r>
      <w:r w:rsidR="0062327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za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62327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20,4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%</w:t>
      </w:r>
      <w:r w:rsidR="0062327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od 3.12.2018.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 </w:t>
      </w:r>
      <w:r w:rsidR="0062327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Novac konstantno raste radi malog i sporog ulaganja u dotrajale objektem i infrastrukturu.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62327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Krenuo je jedan od velikih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planiranih ulaganja</w:t>
      </w:r>
      <w:r w:rsidR="0062327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ŠRC koji je radi dugog nadmetanja i čekanja suglasnosti nadležnih tjela prenijeta u 2019. Uz omanjak ulaganja išlo se ina dizanje cijene ulaznice u nadi da će se smanjti broj ulaza u najjačoj sezoni. Ista mjera je ublažila posjet u najvećoj sezoni a pojačala posjet u podsezoni. Višak Sredstva planiran je utro</w:t>
      </w:r>
      <w:r w:rsidR="0062327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šiti u nar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enim godinama u obnovu dugotrajne </w:t>
      </w:r>
      <w:r w:rsidR="0062327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imovine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Ustanove. Projekti su u izradi te se očekuje </w:t>
      </w:r>
      <w:r w:rsidR="0062327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se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njihova realizacija.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:rsidR="006474B8" w:rsidRPr="00623271" w:rsidRDefault="0062327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 073 </w:t>
      </w:r>
      <w:r w:rsidR="006474B8"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Depoziti, jamčevine polozi i potraživanja od zaposlenih , te više plaćeni poreze i ostalo</w:t>
      </w:r>
      <w:r w:rsidR="006474B8" w:rsidRPr="006474B8">
        <w:rPr>
          <w:rFonts w:ascii="Arial" w:eastAsia="Times New Roman" w:hAnsi="Arial" w:cs="Arial"/>
          <w:b/>
          <w:bCs/>
          <w:noProof/>
          <w:color w:val="000080"/>
          <w:sz w:val="16"/>
          <w:szCs w:val="16"/>
          <w:lang w:eastAsia="hr-HR"/>
        </w:rPr>
        <w:t xml:space="preserve"> </w:t>
      </w:r>
      <w:r w:rsidR="006474B8" w:rsidRPr="006474B8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64776C" w:rsidRPr="0064776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iznose </w:t>
      </w:r>
      <w:r w:rsidR="00454DC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32.556.932 </w:t>
      </w:r>
      <w:r w:rsidR="0064776C" w:rsidRPr="0064776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kn</w:t>
      </w:r>
      <w:r w:rsidR="00454DC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, veče su u odnosu na 31.1.2018. za 93%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:rsidR="00454DCD" w:rsidRPr="006474B8" w:rsidRDefault="006474B8" w:rsidP="0064776C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 okviru AOP-a 073 iskazano je značajnije odstupanj</w:t>
      </w:r>
      <w:r w:rsidR="0064776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e u odnosu na prošlu godinu, 9</w:t>
      </w:r>
      <w:r w:rsidR="0062327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,6</w:t>
      </w:r>
      <w:r w:rsidR="0064776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%. Stanje potraživanja je slijedeće: 2.000 kn polog kao jamstvo za plaćanje vodnih naknada, 59.939 kn, polog kod Javnog bilježnika za ugovor Sunce osiguranje – spor Lička kuća, Jamčevina 245.892 kn Sunce osiguranje; </w:t>
      </w:r>
      <w:r w:rsidR="00454DC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struktura potraživanja je u tabeli u nastavku</w:t>
      </w:r>
      <w:r w:rsidR="007E046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Potraživanja od zaposlenih odnosi se na potraživanje za blagajničke maksimume. </w:t>
      </w:r>
    </w:p>
    <w:p w:rsidR="006474B8" w:rsidRPr="006474B8" w:rsidRDefault="006474B8" w:rsidP="006474B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AOP 079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Potraživanja za više plaćene poreze i doprinose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 okviru AOP-a 079 iskazano je značajnije odstupanje od -</w:t>
      </w:r>
      <w:r w:rsidR="007E046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23,9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% </w:t>
      </w:r>
      <w:r w:rsidR="007E046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najveći dio ove pozicije je pretporez na dobit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7E046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 iznosu 25.753.647 kn.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dok je u prethodnoj godini iznosio </w:t>
      </w:r>
      <w:r w:rsidR="007E0461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10.353.186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kn.  Ovo smanjenje je vezano za manji obračun porez na dobit. Odnosno manje akontacije.</w:t>
      </w:r>
    </w:p>
    <w:p w:rsidR="007E0461" w:rsidRDefault="007E0461" w:rsidP="007E0461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5770"/>
        <w:gridCol w:w="1128"/>
        <w:gridCol w:w="1311"/>
        <w:gridCol w:w="868"/>
      </w:tblGrid>
      <w:tr w:rsidR="007E0461" w:rsidRPr="00454DCD" w:rsidTr="00364C17">
        <w:trPr>
          <w:trHeight w:val="264"/>
        </w:trPr>
        <w:tc>
          <w:tcPr>
            <w:tcW w:w="5770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Depoziti u tuzemnim kreditnim i ostalim financijskim institucijama</w:t>
            </w:r>
          </w:p>
        </w:tc>
        <w:tc>
          <w:tcPr>
            <w:tcW w:w="11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61.939</w:t>
            </w:r>
          </w:p>
        </w:tc>
        <w:tc>
          <w:tcPr>
            <w:tcW w:w="13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61.939</w:t>
            </w:r>
          </w:p>
        </w:tc>
        <w:tc>
          <w:tcPr>
            <w:tcW w:w="8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100,0</w:t>
            </w:r>
          </w:p>
        </w:tc>
      </w:tr>
      <w:tr w:rsidR="007E0461" w:rsidRPr="00454DCD" w:rsidTr="00364C17">
        <w:trPr>
          <w:trHeight w:val="264"/>
        </w:trPr>
        <w:tc>
          <w:tcPr>
            <w:tcW w:w="577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Depoziti u inozemnim kreditnim i ostalim financijskim institucijama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-</w:t>
            </w:r>
          </w:p>
        </w:tc>
      </w:tr>
      <w:tr w:rsidR="007E0461" w:rsidRPr="00454DCD" w:rsidTr="00364C17">
        <w:trPr>
          <w:trHeight w:val="264"/>
        </w:trPr>
        <w:tc>
          <w:tcPr>
            <w:tcW w:w="577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Jamčevni polozi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223.618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245.892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110,0</w:t>
            </w:r>
          </w:p>
        </w:tc>
      </w:tr>
      <w:tr w:rsidR="007E0461" w:rsidRPr="00454DCD" w:rsidTr="00364C17">
        <w:trPr>
          <w:trHeight w:val="264"/>
        </w:trPr>
        <w:tc>
          <w:tcPr>
            <w:tcW w:w="577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Potraživanja od zaposlenih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272.289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240.660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88,4</w:t>
            </w:r>
          </w:p>
        </w:tc>
      </w:tr>
      <w:tr w:rsidR="007E0461" w:rsidRPr="00454DCD" w:rsidTr="00364C17">
        <w:trPr>
          <w:trHeight w:val="264"/>
        </w:trPr>
        <w:tc>
          <w:tcPr>
            <w:tcW w:w="577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Potraživanja za više plaćene poreze i doprinose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11.670.830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27.763.609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237,9</w:t>
            </w:r>
          </w:p>
        </w:tc>
      </w:tr>
      <w:tr w:rsidR="007E0461" w:rsidRPr="00454DCD" w:rsidTr="00364C17">
        <w:trPr>
          <w:trHeight w:val="264"/>
        </w:trPr>
        <w:tc>
          <w:tcPr>
            <w:tcW w:w="5770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Ostala potraživanja</w:t>
            </w:r>
          </w:p>
        </w:tc>
        <w:tc>
          <w:tcPr>
            <w:tcW w:w="11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4.584.901</w:t>
            </w:r>
          </w:p>
        </w:tc>
        <w:tc>
          <w:tcPr>
            <w:tcW w:w="13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4.244.831</w:t>
            </w:r>
          </w:p>
        </w:tc>
        <w:tc>
          <w:tcPr>
            <w:tcW w:w="8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92,6</w:t>
            </w:r>
          </w:p>
        </w:tc>
      </w:tr>
      <w:tr w:rsidR="007E0461" w:rsidRPr="00454DCD" w:rsidTr="00364C17">
        <w:trPr>
          <w:trHeight w:val="264"/>
        </w:trPr>
        <w:tc>
          <w:tcPr>
            <w:tcW w:w="577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Potraživanja za dane zajmove (AOP 082+100-111)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1.940.000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1.940.000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461" w:rsidRPr="00454DCD" w:rsidRDefault="007E0461" w:rsidP="00364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</w:pPr>
            <w:r w:rsidRPr="00454DCD">
              <w:rPr>
                <w:rFonts w:ascii="Calibri" w:eastAsia="Times New Roman" w:hAnsi="Calibri" w:cs="Times New Roman"/>
                <w:bCs/>
                <w:i/>
                <w:noProof/>
                <w:color w:val="000000" w:themeColor="text1"/>
                <w:sz w:val="20"/>
                <w:szCs w:val="20"/>
                <w:lang w:eastAsia="hr-HR"/>
              </w:rPr>
              <w:t>100,0</w:t>
            </w:r>
          </w:p>
        </w:tc>
      </w:tr>
    </w:tbl>
    <w:p w:rsidR="007E0461" w:rsidRDefault="007E0461" w:rsidP="007E0461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Pr="00015C97" w:rsidRDefault="006474B8" w:rsidP="00015C9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AOP 080</w:t>
      </w:r>
      <w:r w:rsidR="00015C97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 </w:t>
      </w:r>
      <w:r w:rsidRPr="00015C97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Ostala potraživanja </w:t>
      </w:r>
    </w:p>
    <w:p w:rsid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 okviru AOP-a 070 iskazano je odstupanje od -7,4 % u o koje se odnosi naknade koje se refundir</w:t>
      </w:r>
      <w:r w:rsidR="00364C17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aju i ne bilježe veća odstupana. Najveća pozicija su predujmovi kao jamstva za podmirenje izvršenje usluga. </w:t>
      </w:r>
    </w:p>
    <w:p w:rsidR="00364C17" w:rsidRPr="006474B8" w:rsidRDefault="00364C17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364C17" w:rsidRDefault="00015C97" w:rsidP="00015C9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            </w:t>
      </w:r>
      <w:r w:rsidR="00364C17" w:rsidRPr="00015C97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 </w:t>
      </w: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129</w:t>
      </w:r>
      <w:r w:rsidR="00364C17" w:rsidRPr="00015C97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 Dionice i udjeli u glavnici </w:t>
      </w: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–</w:t>
      </w:r>
      <w:r w:rsidR="00364C17" w:rsidRPr="00015C97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 tuzemni</w:t>
      </w:r>
    </w:p>
    <w:p w:rsidR="00015C97" w:rsidRPr="00015C97" w:rsidRDefault="00015C97" w:rsidP="00015C9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:rsidR="00015C97" w:rsidRPr="006474B8" w:rsidRDefault="00015C97" w:rsidP="00015C97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015C97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Dionice i udjeli u glavnici tuzemnih kreditnih i ostalih financijskih institucija izvan javnog sektora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iznose 9.551.227 kn i manji su za usklađenje dionica Karlovačke banke na prodajnu vrijednost sa 933.000 na 93.628 kn.</w:t>
      </w:r>
    </w:p>
    <w:p w:rsidR="00015C97" w:rsidRDefault="00015C97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:rsidR="006474B8" w:rsidRPr="006474B8" w:rsidRDefault="00364C17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 140 </w:t>
      </w:r>
      <w:r w:rsidR="006474B8"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Potraživanja za prihode poslovanja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Potraživanja za prihode poslovanja na dan 31.12.201</w:t>
      </w:r>
      <w:r w:rsidR="00015C97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godine iznose ukupno </w:t>
      </w:r>
      <w:r w:rsidR="00015C97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7.480.185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kn, </w:t>
      </w:r>
      <w:r w:rsidR="00015C97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i veće su za 40,60%.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a odnose se u potraživanja za prihode od prodaje proizvoda i usluga  u iznosu </w:t>
      </w:r>
      <w:r w:rsidR="00015C97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9.006.870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kn. i potraživanja za kazne, upravne mjere i ostalo u iznosu </w:t>
      </w:r>
      <w:r w:rsidR="00015C97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167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kn. na koje se veže ispravak vrijednosti potraživanja temeljem novog prorpisa o proračunskom računovodstvu koja iznose </w:t>
      </w:r>
      <w:r w:rsidR="00015C97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1.526.852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kn</w:t>
      </w:r>
      <w:r w:rsidR="00015C97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 veće su za 9.4% u odnosu na 31.12.2018.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:rsidR="006474B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:rsidR="00015C97" w:rsidRPr="006474B8" w:rsidRDefault="00015C97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  <w:t>Bilješka br. 3.2. – Obveze Ustanove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AOP 164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Obveze za rashode poslovanja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Ukupne obveze za rashode poslovanja na dan 31.12.201</w:t>
      </w:r>
      <w:r w:rsidR="00015C97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iznosile su ukupno </w:t>
      </w:r>
      <w:r w:rsidR="00015C97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37.912.251</w:t>
      </w:r>
      <w:r w:rsidR="00C6061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kn,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C6061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 odnosu na 31.12.2019. veće su za 59,5%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a odnose se na slijedeće obveze:</w:t>
      </w:r>
    </w:p>
    <w:p w:rsidR="006474B8" w:rsidRPr="006474B8" w:rsidRDefault="006474B8" w:rsidP="006474B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Obveze za zaposlene odnosno obveze za obračunatu plaću od prosinca 201</w:t>
      </w:r>
      <w:r w:rsidR="00C6061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 godine koja je isplaćena u siječnju 20</w:t>
      </w:r>
      <w:r w:rsidR="00C6061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20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 godine u iznosu od 10.</w:t>
      </w:r>
      <w:r w:rsidR="00C6061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410.959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</w:t>
      </w:r>
    </w:p>
    <w:p w:rsidR="006474B8" w:rsidRPr="006474B8" w:rsidRDefault="006474B8" w:rsidP="006474B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Obveze za materijalne rashode u iznosu od </w:t>
      </w:r>
      <w:r w:rsidR="00C6061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11.43.378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kn </w:t>
      </w:r>
    </w:p>
    <w:p w:rsidR="006474B8" w:rsidRPr="006474B8" w:rsidRDefault="006474B8" w:rsidP="006474B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Obveze za financijske rashode odnosno zatezne kamate iz odnosa sa dobavljačima u iznosu od </w:t>
      </w:r>
      <w:r w:rsidR="00C60614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49.232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</w:t>
      </w:r>
    </w:p>
    <w:p w:rsidR="006474B8" w:rsidRPr="0087058B" w:rsidRDefault="006474B8" w:rsidP="006474B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 w:rsidRPr="0087058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Ostale tekuće obveze u iznosu od </w:t>
      </w:r>
      <w:r w:rsidR="00C60614" w:rsidRPr="0087058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14.449.911</w:t>
      </w:r>
      <w:r w:rsidRPr="0087058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574F99" w:rsidRPr="0087058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kn -</w:t>
      </w:r>
      <w:r w:rsidRPr="0087058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U okviru AOP-a 164 značajnije odstupanje ostvareno je na AOP-u 174 zbog porasta obveza za primljene predujmove koji su u 201</w:t>
      </w:r>
      <w:r w:rsidR="006165A9" w:rsidRPr="0087058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</w:t>
      </w:r>
      <w:r w:rsidRPr="0087058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godini veći za </w:t>
      </w:r>
      <w:r w:rsidR="006165A9" w:rsidRPr="0087058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46,8</w:t>
      </w:r>
      <w:r w:rsidRPr="0087058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% u odnosu na prethodnu godinu</w:t>
      </w:r>
      <w:r w:rsidR="0087058B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 U nastavku je struktura ovih prihoda;</w:t>
      </w:r>
    </w:p>
    <w:tbl>
      <w:tblPr>
        <w:tblW w:w="90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85"/>
        <w:gridCol w:w="4284"/>
        <w:gridCol w:w="1468"/>
        <w:gridCol w:w="1957"/>
      </w:tblGrid>
      <w:tr w:rsidR="006474B8" w:rsidRPr="006474B8" w:rsidTr="009F78BD">
        <w:trPr>
          <w:trHeight w:val="342"/>
        </w:trPr>
        <w:tc>
          <w:tcPr>
            <w:tcW w:w="13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noWrap/>
          </w:tcPr>
          <w:p w:rsidR="006474B8" w:rsidRPr="006474B8" w:rsidRDefault="006474B8" w:rsidP="00647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noProof/>
                <w:color w:val="FFFFFF"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b/>
                <w:bCs/>
                <w:i/>
                <w:noProof/>
                <w:color w:val="FFFFFF"/>
                <w:sz w:val="24"/>
                <w:szCs w:val="20"/>
                <w:lang w:eastAsia="hr-HR"/>
              </w:rPr>
              <w:t>konto</w:t>
            </w:r>
          </w:p>
        </w:tc>
        <w:tc>
          <w:tcPr>
            <w:tcW w:w="4284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</w:tcPr>
          <w:p w:rsidR="006474B8" w:rsidRPr="006474B8" w:rsidRDefault="006474B8" w:rsidP="00647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noProof/>
                <w:color w:val="FFFFFF"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b/>
                <w:bCs/>
                <w:i/>
                <w:noProof/>
                <w:color w:val="FFFFFF"/>
                <w:sz w:val="24"/>
                <w:szCs w:val="20"/>
                <w:lang w:eastAsia="hr-HR"/>
              </w:rPr>
              <w:t>NAZIV STAVKE</w:t>
            </w:r>
          </w:p>
        </w:tc>
        <w:tc>
          <w:tcPr>
            <w:tcW w:w="1468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noWrap/>
          </w:tcPr>
          <w:p w:rsidR="006474B8" w:rsidRPr="006474B8" w:rsidRDefault="006474B8" w:rsidP="00647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noProof/>
                <w:color w:val="FFFFFF"/>
                <w:sz w:val="24"/>
                <w:szCs w:val="20"/>
                <w:lang w:eastAsia="hr-HR"/>
              </w:rPr>
            </w:pPr>
          </w:p>
        </w:tc>
        <w:tc>
          <w:tcPr>
            <w:tcW w:w="195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</w:tcPr>
          <w:p w:rsidR="006474B8" w:rsidRPr="006474B8" w:rsidRDefault="006474B8" w:rsidP="00647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noProof/>
                <w:color w:val="FFFFFF"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b/>
                <w:bCs/>
                <w:i/>
                <w:noProof/>
                <w:color w:val="FFFFFF"/>
                <w:sz w:val="24"/>
                <w:szCs w:val="20"/>
                <w:lang w:eastAsia="hr-HR"/>
              </w:rPr>
              <w:t>IZNOS/2018</w:t>
            </w:r>
          </w:p>
        </w:tc>
      </w:tr>
      <w:tr w:rsidR="0087058B" w:rsidRPr="006474B8" w:rsidTr="00083061">
        <w:trPr>
          <w:trHeight w:val="342"/>
        </w:trPr>
        <w:tc>
          <w:tcPr>
            <w:tcW w:w="1385" w:type="dxa"/>
            <w:tcBorders>
              <w:top w:val="single" w:sz="4" w:space="0" w:color="FFFFFF"/>
              <w:left w:val="single" w:sz="4" w:space="0" w:color="FFFFFF"/>
            </w:tcBorders>
            <w:shd w:val="clear" w:color="auto" w:fill="70AD47"/>
            <w:noWrap/>
          </w:tcPr>
          <w:p w:rsidR="0087058B" w:rsidRDefault="0087058B" w:rsidP="00870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23911</w:t>
            </w:r>
          </w:p>
        </w:tc>
        <w:tc>
          <w:tcPr>
            <w:tcW w:w="4284" w:type="dxa"/>
            <w:shd w:val="clear" w:color="auto" w:fill="C5E0B3"/>
          </w:tcPr>
          <w:p w:rsidR="0087058B" w:rsidRPr="006474B8" w:rsidRDefault="0087058B" w:rsidP="0050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Obveza za porez</w:t>
            </w:r>
            <w:r w:rsid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3425" w:type="dxa"/>
            <w:gridSpan w:val="2"/>
            <w:shd w:val="clear" w:color="auto" w:fill="C5E0B3"/>
            <w:noWrap/>
          </w:tcPr>
          <w:p w:rsidR="0087058B" w:rsidRDefault="005008B9" w:rsidP="00083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8.760.925</w:t>
            </w:r>
            <w:r w:rsidR="008705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87058B" w:rsidRPr="006474B8" w:rsidTr="00083061">
        <w:trPr>
          <w:trHeight w:val="342"/>
        </w:trPr>
        <w:tc>
          <w:tcPr>
            <w:tcW w:w="1385" w:type="dxa"/>
            <w:tcBorders>
              <w:top w:val="single" w:sz="4" w:space="0" w:color="FFFFFF"/>
              <w:left w:val="single" w:sz="4" w:space="0" w:color="FFFFFF"/>
            </w:tcBorders>
            <w:shd w:val="clear" w:color="auto" w:fill="70AD47"/>
            <w:noWrap/>
          </w:tcPr>
          <w:p w:rsidR="0087058B" w:rsidRDefault="0087058B" w:rsidP="00870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284" w:type="dxa"/>
            <w:shd w:val="clear" w:color="auto" w:fill="C5E0B3"/>
          </w:tcPr>
          <w:p w:rsidR="0087058B" w:rsidRPr="006474B8" w:rsidRDefault="005008B9" w:rsidP="00083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Obveze za PDV po obračunu</w:t>
            </w:r>
          </w:p>
        </w:tc>
        <w:tc>
          <w:tcPr>
            <w:tcW w:w="3425" w:type="dxa"/>
            <w:gridSpan w:val="2"/>
            <w:shd w:val="clear" w:color="auto" w:fill="C5E0B3"/>
            <w:noWrap/>
          </w:tcPr>
          <w:p w:rsidR="0087058B" w:rsidRDefault="005008B9" w:rsidP="00083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817.711 kn</w:t>
            </w:r>
          </w:p>
        </w:tc>
      </w:tr>
      <w:tr w:rsidR="0087058B" w:rsidRPr="006474B8" w:rsidTr="00083061">
        <w:trPr>
          <w:trHeight w:val="342"/>
        </w:trPr>
        <w:tc>
          <w:tcPr>
            <w:tcW w:w="1385" w:type="dxa"/>
            <w:tcBorders>
              <w:top w:val="single" w:sz="4" w:space="0" w:color="FFFFFF"/>
              <w:left w:val="single" w:sz="4" w:space="0" w:color="FFFFFF"/>
            </w:tcBorders>
            <w:shd w:val="clear" w:color="auto" w:fill="70AD47"/>
            <w:noWrap/>
            <w:hideMark/>
          </w:tcPr>
          <w:p w:rsidR="0087058B" w:rsidRPr="006474B8" w:rsidRDefault="0087058B" w:rsidP="00870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23951</w:t>
            </w:r>
          </w:p>
        </w:tc>
        <w:tc>
          <w:tcPr>
            <w:tcW w:w="4284" w:type="dxa"/>
            <w:shd w:val="clear" w:color="auto" w:fill="C5E0B3"/>
            <w:hideMark/>
          </w:tcPr>
          <w:p w:rsidR="0087058B" w:rsidRPr="006474B8" w:rsidRDefault="0087058B" w:rsidP="00083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nespomenute obveze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Obveze za predujmove</w:t>
            </w:r>
          </w:p>
        </w:tc>
        <w:tc>
          <w:tcPr>
            <w:tcW w:w="3425" w:type="dxa"/>
            <w:gridSpan w:val="2"/>
            <w:shd w:val="clear" w:color="auto" w:fill="C5E0B3"/>
            <w:noWrap/>
            <w:hideMark/>
          </w:tcPr>
          <w:p w:rsidR="0087058B" w:rsidRPr="006474B8" w:rsidRDefault="0087058B" w:rsidP="00083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105.162 kn</w:t>
            </w:r>
            <w:r w:rsidRPr="006474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6474B8" w:rsidRPr="006474B8" w:rsidTr="009F78BD">
        <w:trPr>
          <w:trHeight w:val="342"/>
        </w:trPr>
        <w:tc>
          <w:tcPr>
            <w:tcW w:w="1385" w:type="dxa"/>
            <w:tcBorders>
              <w:top w:val="single" w:sz="4" w:space="0" w:color="FFFFFF"/>
              <w:left w:val="single" w:sz="4" w:space="0" w:color="FFFFFF"/>
            </w:tcBorders>
            <w:shd w:val="clear" w:color="auto" w:fill="70AD47"/>
            <w:noWrap/>
            <w:hideMark/>
          </w:tcPr>
          <w:p w:rsidR="006474B8" w:rsidRPr="006474B8" w:rsidRDefault="006165A9" w:rsidP="00647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23953</w:t>
            </w:r>
          </w:p>
        </w:tc>
        <w:tc>
          <w:tcPr>
            <w:tcW w:w="4284" w:type="dxa"/>
            <w:shd w:val="clear" w:color="auto" w:fill="C5E0B3"/>
            <w:hideMark/>
          </w:tcPr>
          <w:p w:rsidR="006474B8" w:rsidRPr="006474B8" w:rsidRDefault="006474B8" w:rsidP="00647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nespomenute obveze</w:t>
            </w:r>
          </w:p>
        </w:tc>
        <w:tc>
          <w:tcPr>
            <w:tcW w:w="3425" w:type="dxa"/>
            <w:gridSpan w:val="2"/>
            <w:shd w:val="clear" w:color="auto" w:fill="C5E0B3"/>
            <w:noWrap/>
            <w:hideMark/>
          </w:tcPr>
          <w:p w:rsidR="006474B8" w:rsidRPr="006474B8" w:rsidRDefault="006165A9" w:rsidP="00647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4.314.968 kn</w:t>
            </w:r>
            <w:r w:rsidR="006474B8" w:rsidRPr="006474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6474B8" w:rsidRPr="006474B8" w:rsidTr="009F78BD">
        <w:trPr>
          <w:trHeight w:val="342"/>
        </w:trPr>
        <w:tc>
          <w:tcPr>
            <w:tcW w:w="1385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6474B8" w:rsidRPr="006474B8" w:rsidRDefault="006474B8" w:rsidP="00647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23954</w:t>
            </w:r>
          </w:p>
        </w:tc>
        <w:tc>
          <w:tcPr>
            <w:tcW w:w="4284" w:type="dxa"/>
            <w:shd w:val="clear" w:color="auto" w:fill="E2EFD9"/>
            <w:hideMark/>
          </w:tcPr>
          <w:p w:rsidR="006474B8" w:rsidRPr="006474B8" w:rsidRDefault="006474B8" w:rsidP="00647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nespomenute obveze</w:t>
            </w:r>
          </w:p>
        </w:tc>
        <w:tc>
          <w:tcPr>
            <w:tcW w:w="3425" w:type="dxa"/>
            <w:gridSpan w:val="2"/>
            <w:shd w:val="clear" w:color="auto" w:fill="E2EFD9"/>
            <w:noWrap/>
            <w:hideMark/>
          </w:tcPr>
          <w:p w:rsidR="006474B8" w:rsidRPr="006474B8" w:rsidRDefault="006165A9" w:rsidP="00647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14.566 kn</w:t>
            </w:r>
            <w:r w:rsidR="006474B8" w:rsidRPr="006474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6474B8" w:rsidRPr="006474B8" w:rsidTr="009F78BD">
        <w:trPr>
          <w:trHeight w:val="342"/>
        </w:trPr>
        <w:tc>
          <w:tcPr>
            <w:tcW w:w="1385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6474B8" w:rsidRPr="006474B8" w:rsidRDefault="006474B8" w:rsidP="00647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23955</w:t>
            </w:r>
          </w:p>
        </w:tc>
        <w:tc>
          <w:tcPr>
            <w:tcW w:w="4284" w:type="dxa"/>
            <w:shd w:val="clear" w:color="auto" w:fill="C5E0B3"/>
            <w:hideMark/>
          </w:tcPr>
          <w:p w:rsidR="006474B8" w:rsidRPr="006474B8" w:rsidRDefault="006474B8" w:rsidP="00647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Obveze za naplaćene tuđe prihode</w:t>
            </w:r>
          </w:p>
        </w:tc>
        <w:tc>
          <w:tcPr>
            <w:tcW w:w="3425" w:type="dxa"/>
            <w:gridSpan w:val="2"/>
            <w:shd w:val="clear" w:color="auto" w:fill="C5E0B3"/>
            <w:noWrap/>
            <w:hideMark/>
          </w:tcPr>
          <w:p w:rsidR="006474B8" w:rsidRPr="006474B8" w:rsidRDefault="006165A9" w:rsidP="00647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436.712 kn</w:t>
            </w:r>
            <w:r w:rsidR="006474B8" w:rsidRPr="006474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6474B8" w:rsidRPr="006474B8" w:rsidTr="009F78BD">
        <w:trPr>
          <w:trHeight w:val="684"/>
        </w:trPr>
        <w:tc>
          <w:tcPr>
            <w:tcW w:w="1385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6474B8" w:rsidRPr="006474B8" w:rsidRDefault="006474B8" w:rsidP="00647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239551</w:t>
            </w:r>
          </w:p>
        </w:tc>
        <w:tc>
          <w:tcPr>
            <w:tcW w:w="4284" w:type="dxa"/>
            <w:shd w:val="clear" w:color="auto" w:fill="E2EFD9"/>
            <w:hideMark/>
          </w:tcPr>
          <w:p w:rsidR="006474B8" w:rsidRPr="006474B8" w:rsidRDefault="006474B8" w:rsidP="00647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Obveze za naplaćene tuđe prihode - PBZ otkup stana</w:t>
            </w:r>
          </w:p>
        </w:tc>
        <w:tc>
          <w:tcPr>
            <w:tcW w:w="3425" w:type="dxa"/>
            <w:gridSpan w:val="2"/>
            <w:shd w:val="clear" w:color="auto" w:fill="E2EFD9"/>
            <w:noWrap/>
            <w:hideMark/>
          </w:tcPr>
          <w:p w:rsidR="006474B8" w:rsidRPr="006474B8" w:rsidRDefault="006474B8" w:rsidP="00647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43.311 </w:t>
            </w:r>
          </w:p>
        </w:tc>
      </w:tr>
      <w:tr w:rsidR="006474B8" w:rsidRPr="006474B8" w:rsidTr="009F78BD">
        <w:trPr>
          <w:trHeight w:val="342"/>
        </w:trPr>
        <w:tc>
          <w:tcPr>
            <w:tcW w:w="138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noWrap/>
            <w:hideMark/>
          </w:tcPr>
          <w:p w:rsidR="006474B8" w:rsidRPr="006474B8" w:rsidRDefault="006474B8" w:rsidP="00647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239552</w:t>
            </w:r>
          </w:p>
        </w:tc>
        <w:tc>
          <w:tcPr>
            <w:tcW w:w="4284" w:type="dxa"/>
            <w:shd w:val="clear" w:color="auto" w:fill="C5E0B3"/>
            <w:hideMark/>
          </w:tcPr>
          <w:p w:rsidR="006474B8" w:rsidRPr="006474B8" w:rsidRDefault="006474B8" w:rsidP="00647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Obveze za naplaćene tuđe prihode - kazne</w:t>
            </w:r>
          </w:p>
        </w:tc>
        <w:tc>
          <w:tcPr>
            <w:tcW w:w="3425" w:type="dxa"/>
            <w:gridSpan w:val="2"/>
            <w:shd w:val="clear" w:color="auto" w:fill="C5E0B3"/>
            <w:noWrap/>
            <w:hideMark/>
          </w:tcPr>
          <w:p w:rsidR="006474B8" w:rsidRPr="006474B8" w:rsidRDefault="006474B8" w:rsidP="00647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323.699 </w:t>
            </w:r>
          </w:p>
        </w:tc>
      </w:tr>
    </w:tbl>
    <w:p w:rsidR="006474B8" w:rsidRPr="006474B8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:rsidR="006474B8" w:rsidRPr="006474B8" w:rsidRDefault="005008B9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 222 </w:t>
      </w:r>
      <w:r w:rsidR="006474B8"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Naplaćeni prihodi budućih razdoblja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noProof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Naplaćeni prihodi budućih razdoblja iskazani u bilanci Ustanove na dan 31.31.201</w:t>
      </w:r>
      <w:r w:rsidR="005008B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9. godine u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iznosu od </w:t>
      </w:r>
      <w:r w:rsidR="005008B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7.922 kn -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plaćeni prihodi – Ankica Zubović – radni spor 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color w:val="8064A2"/>
          <w:sz w:val="24"/>
          <w:szCs w:val="24"/>
          <w:lang w:eastAsia="hr-HR"/>
        </w:rPr>
      </w:pPr>
    </w:p>
    <w:p w:rsidR="006474B8" w:rsidRPr="006474B8" w:rsidRDefault="005008B9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AOP 232 / AOP 236Višak prihoda poslovanja /</w:t>
      </w:r>
      <w:r w:rsidR="006474B8"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Manjak prihoda od nefinancijske imovine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Manjak prihoda od nefinancijske imovine iznosi 1.200.000 kn i isti je kao 201</w:t>
      </w:r>
      <w:r w:rsidR="005008B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8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godine.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Na dan 31.12.201</w:t>
      </w:r>
      <w:r w:rsidR="005008B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 godine Ustanova je ostvarila poslovni rezultat iskazan u slijedećoj tabeli: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tbl>
      <w:tblPr>
        <w:tblStyle w:val="GridTable4Accent6"/>
        <w:tblW w:w="9104" w:type="dxa"/>
        <w:tblLayout w:type="fixed"/>
        <w:tblLook w:val="04A0" w:firstRow="1" w:lastRow="0" w:firstColumn="1" w:lastColumn="0" w:noHBand="0" w:noVBand="1"/>
      </w:tblPr>
      <w:tblGrid>
        <w:gridCol w:w="1491"/>
        <w:gridCol w:w="5140"/>
        <w:gridCol w:w="2473"/>
      </w:tblGrid>
      <w:tr w:rsidR="006474B8" w:rsidRPr="006474B8" w:rsidTr="00500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noWrap/>
          </w:tcPr>
          <w:p w:rsidR="006474B8" w:rsidRPr="006474B8" w:rsidRDefault="006474B8" w:rsidP="006474B8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FFFFFF"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FFFFFF"/>
                <w:sz w:val="24"/>
                <w:szCs w:val="20"/>
                <w:lang w:eastAsia="hr-HR"/>
              </w:rPr>
              <w:t>AOP</w:t>
            </w:r>
          </w:p>
        </w:tc>
        <w:tc>
          <w:tcPr>
            <w:tcW w:w="5140" w:type="dxa"/>
          </w:tcPr>
          <w:p w:rsidR="006474B8" w:rsidRPr="006474B8" w:rsidRDefault="006474B8" w:rsidP="006474B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FFFFFF"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FFFFFF"/>
                <w:sz w:val="24"/>
                <w:szCs w:val="20"/>
                <w:lang w:eastAsia="hr-HR"/>
              </w:rPr>
              <w:t>NAZIV STAVKE</w:t>
            </w:r>
          </w:p>
        </w:tc>
        <w:tc>
          <w:tcPr>
            <w:tcW w:w="2473" w:type="dxa"/>
            <w:noWrap/>
          </w:tcPr>
          <w:p w:rsidR="006474B8" w:rsidRPr="006474B8" w:rsidRDefault="006474B8" w:rsidP="006474B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FFFFFF"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FFFFFF"/>
                <w:sz w:val="24"/>
                <w:szCs w:val="20"/>
                <w:lang w:eastAsia="hr-HR"/>
              </w:rPr>
              <w:t>31.12.2018.</w:t>
            </w:r>
          </w:p>
        </w:tc>
      </w:tr>
      <w:tr w:rsidR="006474B8" w:rsidRPr="006474B8" w:rsidTr="00500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noWrap/>
          </w:tcPr>
          <w:p w:rsidR="006474B8" w:rsidRPr="006474B8" w:rsidRDefault="006474B8" w:rsidP="006474B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noProof/>
                <w:color w:val="FFFFFF"/>
                <w:szCs w:val="20"/>
                <w:lang w:eastAsia="hr-HR"/>
              </w:rPr>
            </w:pPr>
            <w:r w:rsidRPr="006474B8">
              <w:rPr>
                <w:rFonts w:ascii="Times New Roman" w:eastAsia="Times New Roman" w:hAnsi="Times New Roman" w:cs="Times New Roman"/>
                <w:b w:val="0"/>
                <w:bCs w:val="0"/>
                <w:noProof/>
                <w:color w:val="FFFFFF"/>
                <w:szCs w:val="20"/>
                <w:lang w:eastAsia="hr-HR"/>
              </w:rPr>
              <w:t>1</w:t>
            </w:r>
          </w:p>
        </w:tc>
        <w:tc>
          <w:tcPr>
            <w:tcW w:w="5140" w:type="dxa"/>
          </w:tcPr>
          <w:p w:rsidR="006474B8" w:rsidRPr="005008B9" w:rsidRDefault="006474B8" w:rsidP="00647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</w:pPr>
            <w:r w:rsidRPr="005008B9"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t>2</w:t>
            </w:r>
          </w:p>
        </w:tc>
        <w:tc>
          <w:tcPr>
            <w:tcW w:w="2473" w:type="dxa"/>
            <w:noWrap/>
          </w:tcPr>
          <w:p w:rsidR="006474B8" w:rsidRPr="005008B9" w:rsidRDefault="006474B8" w:rsidP="00647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</w:pPr>
            <w:r w:rsidRPr="005008B9"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t>3</w:t>
            </w:r>
          </w:p>
        </w:tc>
      </w:tr>
      <w:tr w:rsidR="006474B8" w:rsidRPr="006474B8" w:rsidTr="005008B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noWrap/>
          </w:tcPr>
          <w:p w:rsidR="006474B8" w:rsidRPr="006474B8" w:rsidRDefault="006474B8" w:rsidP="006474B8">
            <w:pPr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140" w:type="dxa"/>
          </w:tcPr>
          <w:p w:rsidR="006474B8" w:rsidRPr="005008B9" w:rsidRDefault="006474B8" w:rsidP="00647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2473" w:type="dxa"/>
            <w:noWrap/>
          </w:tcPr>
          <w:p w:rsidR="006474B8" w:rsidRPr="005008B9" w:rsidRDefault="00967580" w:rsidP="00647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403.706.268</w:t>
            </w:r>
          </w:p>
        </w:tc>
      </w:tr>
      <w:tr w:rsidR="006474B8" w:rsidRPr="006474B8" w:rsidTr="00500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noWrap/>
            <w:hideMark/>
          </w:tcPr>
          <w:p w:rsidR="006474B8" w:rsidRPr="006474B8" w:rsidRDefault="006474B8" w:rsidP="006474B8">
            <w:pPr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140" w:type="dxa"/>
            <w:hideMark/>
          </w:tcPr>
          <w:p w:rsidR="006474B8" w:rsidRPr="005008B9" w:rsidRDefault="006474B8" w:rsidP="00647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473" w:type="dxa"/>
            <w:noWrap/>
            <w:hideMark/>
          </w:tcPr>
          <w:p w:rsidR="006474B8" w:rsidRPr="005008B9" w:rsidRDefault="00967580" w:rsidP="00647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-286.930.837</w:t>
            </w:r>
            <w:r w:rsidR="006474B8"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6474B8" w:rsidRPr="006474B8" w:rsidTr="005008B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noWrap/>
            <w:hideMark/>
          </w:tcPr>
          <w:p w:rsidR="006474B8" w:rsidRPr="006474B8" w:rsidRDefault="006474B8" w:rsidP="006474B8">
            <w:pPr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140" w:type="dxa"/>
            <w:hideMark/>
          </w:tcPr>
          <w:p w:rsidR="006474B8" w:rsidRPr="005008B9" w:rsidRDefault="006474B8" w:rsidP="00647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REZULTAT POSLOVANJA TEKUĆE GODINE</w:t>
            </w:r>
          </w:p>
        </w:tc>
        <w:tc>
          <w:tcPr>
            <w:tcW w:w="2473" w:type="dxa"/>
            <w:noWrap/>
            <w:hideMark/>
          </w:tcPr>
          <w:p w:rsidR="006474B8" w:rsidRPr="005008B9" w:rsidRDefault="00967580" w:rsidP="00647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116.775.431</w:t>
            </w:r>
            <w:r w:rsidR="006474B8"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6474B8" w:rsidRPr="006474B8" w:rsidTr="00500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noWrap/>
            <w:hideMark/>
          </w:tcPr>
          <w:p w:rsidR="006474B8" w:rsidRPr="006474B8" w:rsidRDefault="006474B8" w:rsidP="006474B8">
            <w:pPr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140" w:type="dxa"/>
            <w:hideMark/>
          </w:tcPr>
          <w:p w:rsidR="006474B8" w:rsidRPr="005008B9" w:rsidRDefault="006474B8" w:rsidP="00647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PRENESENI VIŠAK IZ PRETHODNIH GODINA</w:t>
            </w:r>
          </w:p>
        </w:tc>
        <w:tc>
          <w:tcPr>
            <w:tcW w:w="2473" w:type="dxa"/>
            <w:noWrap/>
            <w:hideMark/>
          </w:tcPr>
          <w:p w:rsidR="006474B8" w:rsidRPr="005008B9" w:rsidRDefault="00967580" w:rsidP="00647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224.741.806</w:t>
            </w:r>
            <w:r w:rsidR="006474B8"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6474B8" w:rsidRPr="006474B8" w:rsidTr="005008B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noWrap/>
            <w:hideMark/>
          </w:tcPr>
          <w:p w:rsidR="006474B8" w:rsidRPr="006474B8" w:rsidRDefault="006474B8" w:rsidP="006474B8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FFFFFF"/>
                <w:sz w:val="24"/>
                <w:szCs w:val="20"/>
                <w:lang w:eastAsia="hr-HR"/>
              </w:rPr>
            </w:pPr>
            <w:r w:rsidRPr="006474B8">
              <w:rPr>
                <w:rFonts w:ascii="Calibri" w:eastAsia="Times New Roman" w:hAnsi="Calibri" w:cs="Times New Roman"/>
                <w:b w:val="0"/>
                <w:bCs w:val="0"/>
                <w:i/>
                <w:noProof/>
                <w:color w:val="FFFFFF"/>
                <w:sz w:val="24"/>
                <w:szCs w:val="20"/>
                <w:lang w:eastAsia="hr-HR"/>
              </w:rPr>
              <w:t xml:space="preserve">232 </w:t>
            </w:r>
          </w:p>
        </w:tc>
        <w:tc>
          <w:tcPr>
            <w:tcW w:w="5140" w:type="dxa"/>
            <w:hideMark/>
          </w:tcPr>
          <w:p w:rsidR="006474B8" w:rsidRPr="005008B9" w:rsidRDefault="006474B8" w:rsidP="00647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 PRIHODA POSLOVANJA</w:t>
            </w:r>
          </w:p>
        </w:tc>
        <w:tc>
          <w:tcPr>
            <w:tcW w:w="2473" w:type="dxa"/>
            <w:noWrap/>
            <w:hideMark/>
          </w:tcPr>
          <w:p w:rsidR="006474B8" w:rsidRPr="005008B9" w:rsidRDefault="00967580" w:rsidP="00647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341.517.237</w:t>
            </w:r>
          </w:p>
        </w:tc>
      </w:tr>
      <w:tr w:rsidR="006474B8" w:rsidRPr="005008B9" w:rsidTr="005008B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13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noWrap/>
            <w:hideMark/>
          </w:tcPr>
          <w:p w:rsidR="006474B8" w:rsidRPr="006474B8" w:rsidRDefault="006474B8" w:rsidP="006474B8">
            <w:pPr>
              <w:rPr>
                <w:rFonts w:ascii="Times New Roman" w:eastAsia="Times New Roman" w:hAnsi="Times New Roman" w:cs="Times New Roman"/>
                <w:b w:val="0"/>
                <w:bCs w:val="0"/>
                <w:noProof/>
                <w:color w:val="FFFFFF"/>
                <w:szCs w:val="20"/>
                <w:lang w:eastAsia="hr-HR"/>
              </w:rPr>
            </w:pPr>
          </w:p>
        </w:tc>
      </w:tr>
      <w:tr w:rsidR="006474B8" w:rsidRPr="006474B8" w:rsidTr="005008B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noWrap/>
          </w:tcPr>
          <w:p w:rsidR="006474B8" w:rsidRPr="006474B8" w:rsidRDefault="006474B8" w:rsidP="006474B8">
            <w:pPr>
              <w:rPr>
                <w:rFonts w:ascii="Times New Roman" w:eastAsia="Times New Roman" w:hAnsi="Times New Roman" w:cs="Times New Roman"/>
                <w:b w:val="0"/>
                <w:bCs w:val="0"/>
                <w:noProof/>
                <w:color w:val="FFFFFF"/>
                <w:szCs w:val="20"/>
                <w:lang w:eastAsia="hr-HR"/>
              </w:rPr>
            </w:pPr>
          </w:p>
        </w:tc>
        <w:tc>
          <w:tcPr>
            <w:tcW w:w="5140" w:type="dxa"/>
          </w:tcPr>
          <w:p w:rsidR="006474B8" w:rsidRPr="005008B9" w:rsidRDefault="006474B8" w:rsidP="00647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</w:pPr>
            <w:r w:rsidRPr="005008B9"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t>PRIHDI OD NEFINANCIJSKE IMOVINE</w:t>
            </w:r>
          </w:p>
        </w:tc>
        <w:tc>
          <w:tcPr>
            <w:tcW w:w="2473" w:type="dxa"/>
            <w:noWrap/>
          </w:tcPr>
          <w:p w:rsidR="006474B8" w:rsidRPr="005008B9" w:rsidRDefault="00967580" w:rsidP="00647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t>18.147</w:t>
            </w:r>
          </w:p>
        </w:tc>
      </w:tr>
      <w:tr w:rsidR="006474B8" w:rsidRPr="006474B8" w:rsidTr="00500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noWrap/>
          </w:tcPr>
          <w:p w:rsidR="006474B8" w:rsidRPr="006474B8" w:rsidRDefault="006474B8" w:rsidP="006474B8">
            <w:pPr>
              <w:rPr>
                <w:rFonts w:ascii="Times New Roman" w:eastAsia="Times New Roman" w:hAnsi="Times New Roman" w:cs="Times New Roman"/>
                <w:b w:val="0"/>
                <w:bCs w:val="0"/>
                <w:noProof/>
                <w:color w:val="FFFFFF"/>
                <w:szCs w:val="20"/>
                <w:lang w:eastAsia="hr-HR"/>
              </w:rPr>
            </w:pPr>
          </w:p>
        </w:tc>
        <w:tc>
          <w:tcPr>
            <w:tcW w:w="5140" w:type="dxa"/>
          </w:tcPr>
          <w:p w:rsidR="006474B8" w:rsidRPr="005008B9" w:rsidRDefault="006474B8" w:rsidP="00647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</w:pPr>
            <w:r w:rsidRPr="005008B9"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t>RASHODI OD NEFINANCIJSKE IMOVINE</w:t>
            </w:r>
          </w:p>
        </w:tc>
        <w:tc>
          <w:tcPr>
            <w:tcW w:w="2473" w:type="dxa"/>
            <w:noWrap/>
          </w:tcPr>
          <w:p w:rsidR="006474B8" w:rsidRPr="005008B9" w:rsidRDefault="00967580" w:rsidP="00647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t>-31.966.792</w:t>
            </w:r>
          </w:p>
        </w:tc>
      </w:tr>
      <w:tr w:rsidR="006474B8" w:rsidRPr="006474B8" w:rsidTr="005008B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noWrap/>
          </w:tcPr>
          <w:p w:rsidR="006474B8" w:rsidRPr="006474B8" w:rsidRDefault="006474B8" w:rsidP="006474B8">
            <w:pPr>
              <w:rPr>
                <w:rFonts w:ascii="Times New Roman" w:eastAsia="Times New Roman" w:hAnsi="Times New Roman" w:cs="Times New Roman"/>
                <w:b w:val="0"/>
                <w:bCs w:val="0"/>
                <w:noProof/>
                <w:color w:val="FFFFFF"/>
                <w:szCs w:val="20"/>
                <w:lang w:eastAsia="hr-HR"/>
              </w:rPr>
            </w:pPr>
          </w:p>
        </w:tc>
        <w:tc>
          <w:tcPr>
            <w:tcW w:w="5140" w:type="dxa"/>
          </w:tcPr>
          <w:p w:rsidR="006474B8" w:rsidRPr="005008B9" w:rsidRDefault="006474B8" w:rsidP="00647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</w:pPr>
            <w:r w:rsidRPr="005008B9"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t>REZULTAT OD NEFINANCIJSKE IMOVINE</w:t>
            </w:r>
          </w:p>
        </w:tc>
        <w:tc>
          <w:tcPr>
            <w:tcW w:w="2473" w:type="dxa"/>
            <w:noWrap/>
          </w:tcPr>
          <w:p w:rsidR="006474B8" w:rsidRPr="005008B9" w:rsidRDefault="00967580" w:rsidP="00647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hr-HR"/>
              </w:rPr>
              <w:t>-31.948,645</w:t>
            </w:r>
          </w:p>
        </w:tc>
      </w:tr>
      <w:tr w:rsidR="006474B8" w:rsidRPr="006474B8" w:rsidTr="00500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noWrap/>
            <w:hideMark/>
          </w:tcPr>
          <w:p w:rsidR="006474B8" w:rsidRPr="006474B8" w:rsidRDefault="006474B8" w:rsidP="006474B8">
            <w:pPr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140" w:type="dxa"/>
          </w:tcPr>
          <w:p w:rsidR="006474B8" w:rsidRPr="005008B9" w:rsidRDefault="006474B8" w:rsidP="00647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 PRENESEN OD NEFINANCIJSKE IMOVINE</w:t>
            </w:r>
          </w:p>
        </w:tc>
        <w:tc>
          <w:tcPr>
            <w:tcW w:w="2473" w:type="dxa"/>
            <w:noWrap/>
          </w:tcPr>
          <w:p w:rsidR="006474B8" w:rsidRPr="005008B9" w:rsidRDefault="00967580" w:rsidP="00647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202.786.959</w:t>
            </w:r>
          </w:p>
        </w:tc>
      </w:tr>
      <w:tr w:rsidR="006474B8" w:rsidRPr="006474B8" w:rsidTr="005008B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noWrap/>
            <w:hideMark/>
          </w:tcPr>
          <w:p w:rsidR="006474B8" w:rsidRPr="006474B8" w:rsidRDefault="006474B8" w:rsidP="006474B8">
            <w:pPr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140" w:type="dxa"/>
            <w:hideMark/>
          </w:tcPr>
          <w:p w:rsidR="006474B8" w:rsidRPr="005008B9" w:rsidRDefault="006474B8" w:rsidP="00647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UKUPAN VIŠAK PRIHODA  POSLOVNJA:</w:t>
            </w:r>
          </w:p>
        </w:tc>
        <w:tc>
          <w:tcPr>
            <w:tcW w:w="2473" w:type="dxa"/>
            <w:noWrap/>
            <w:hideMark/>
          </w:tcPr>
          <w:p w:rsidR="006474B8" w:rsidRPr="005008B9" w:rsidRDefault="00987BE9" w:rsidP="00647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403.724.419</w:t>
            </w:r>
            <w:r w:rsidR="006474B8"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6474B8" w:rsidRPr="006474B8" w:rsidTr="00500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noWrap/>
            <w:hideMark/>
          </w:tcPr>
          <w:p w:rsidR="006474B8" w:rsidRPr="006474B8" w:rsidRDefault="006474B8" w:rsidP="006474B8">
            <w:pPr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140" w:type="dxa"/>
            <w:hideMark/>
          </w:tcPr>
          <w:p w:rsidR="006474B8" w:rsidRPr="005008B9" w:rsidRDefault="006474B8" w:rsidP="00647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RASHODI:</w:t>
            </w:r>
          </w:p>
        </w:tc>
        <w:tc>
          <w:tcPr>
            <w:tcW w:w="2473" w:type="dxa"/>
            <w:noWrap/>
            <w:hideMark/>
          </w:tcPr>
          <w:p w:rsidR="006474B8" w:rsidRPr="005008B9" w:rsidRDefault="00987BE9" w:rsidP="00647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318.897,629</w:t>
            </w:r>
            <w:r w:rsidR="006474B8"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6474B8" w:rsidRPr="006474B8" w:rsidTr="005008B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noWrap/>
            <w:hideMark/>
          </w:tcPr>
          <w:p w:rsidR="006474B8" w:rsidRPr="006474B8" w:rsidRDefault="006474B8" w:rsidP="006474B8">
            <w:pPr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140" w:type="dxa"/>
            <w:hideMark/>
          </w:tcPr>
          <w:p w:rsidR="006474B8" w:rsidRPr="005008B9" w:rsidRDefault="006474B8" w:rsidP="00647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VIŠAK PRIHODA:</w:t>
            </w:r>
          </w:p>
        </w:tc>
        <w:tc>
          <w:tcPr>
            <w:tcW w:w="2473" w:type="dxa"/>
            <w:noWrap/>
            <w:hideMark/>
          </w:tcPr>
          <w:p w:rsidR="006474B8" w:rsidRPr="005008B9" w:rsidRDefault="006474B8" w:rsidP="00987B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987B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84.826.786</w:t>
            </w: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6474B8" w:rsidRPr="006474B8" w:rsidTr="00500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noWrap/>
            <w:hideMark/>
          </w:tcPr>
          <w:p w:rsidR="006474B8" w:rsidRPr="006474B8" w:rsidRDefault="006474B8" w:rsidP="006474B8">
            <w:pPr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140" w:type="dxa"/>
          </w:tcPr>
          <w:p w:rsidR="006474B8" w:rsidRPr="005008B9" w:rsidRDefault="006474B8" w:rsidP="00647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MANJAK PRIHODA OD NEFINACIJSKE IMOVINE, POZAJMICA MOTEL LUČKO OSATO JE NEPOKRIVEN.</w:t>
            </w:r>
          </w:p>
        </w:tc>
        <w:tc>
          <w:tcPr>
            <w:tcW w:w="2473" w:type="dxa"/>
            <w:noWrap/>
          </w:tcPr>
          <w:p w:rsidR="006474B8" w:rsidRPr="005008B9" w:rsidRDefault="006474B8" w:rsidP="00647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-1.200.000</w:t>
            </w:r>
          </w:p>
        </w:tc>
      </w:tr>
      <w:tr w:rsidR="006474B8" w:rsidRPr="006474B8" w:rsidTr="005008B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noWrap/>
            <w:hideMark/>
          </w:tcPr>
          <w:p w:rsidR="006474B8" w:rsidRPr="006474B8" w:rsidRDefault="006474B8" w:rsidP="006474B8">
            <w:pPr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140" w:type="dxa"/>
          </w:tcPr>
          <w:p w:rsidR="006474B8" w:rsidRPr="005008B9" w:rsidRDefault="006474B8" w:rsidP="00647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 PRIHODA PRENESENI:</w:t>
            </w:r>
          </w:p>
        </w:tc>
        <w:tc>
          <w:tcPr>
            <w:tcW w:w="2473" w:type="dxa"/>
            <w:noWrap/>
          </w:tcPr>
          <w:p w:rsidR="006474B8" w:rsidRPr="005008B9" w:rsidRDefault="00987BE9" w:rsidP="00647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311.336.385</w:t>
            </w:r>
          </w:p>
        </w:tc>
      </w:tr>
      <w:tr w:rsidR="006474B8" w:rsidRPr="006474B8" w:rsidTr="00500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noWrap/>
          </w:tcPr>
          <w:p w:rsidR="006474B8" w:rsidRPr="006474B8" w:rsidRDefault="006474B8" w:rsidP="006474B8">
            <w:pPr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  <w:r w:rsidRPr="006474B8"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140" w:type="dxa"/>
          </w:tcPr>
          <w:p w:rsidR="006474B8" w:rsidRPr="005008B9" w:rsidRDefault="006474B8" w:rsidP="00647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OBRAČUNATE NENAPLAĆENI PRIHOD </w:t>
            </w:r>
          </w:p>
        </w:tc>
        <w:tc>
          <w:tcPr>
            <w:tcW w:w="2473" w:type="dxa"/>
            <w:noWrap/>
          </w:tcPr>
          <w:p w:rsidR="006474B8" w:rsidRPr="005008B9" w:rsidRDefault="00987BE9" w:rsidP="00647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5.625.388</w:t>
            </w:r>
          </w:p>
        </w:tc>
      </w:tr>
    </w:tbl>
    <w:p w:rsidR="002C069A" w:rsidRDefault="002C069A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Tijekom godine ostvaren je višak prihoda poslovanja od </w:t>
      </w:r>
      <w:r w:rsidR="002C069A" w:rsidRPr="002C069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116.775.431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kn te manjak prihoda od </w:t>
      </w:r>
      <w:r w:rsidRPr="002C069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nefinancijske imovine u iznosu od </w:t>
      </w:r>
      <w:r w:rsidR="002C069A" w:rsidRPr="002C069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-31.948,645 </w:t>
      </w:r>
      <w:r w:rsidRPr="002C069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kn.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Uz preneseni višak nefinancijske imovine iz prethodnih godina u iznosu od </w:t>
      </w:r>
      <w:r w:rsidR="002C069A">
        <w:rPr>
          <w:rFonts w:ascii="Arial" w:eastAsia="Times New Roman" w:hAnsi="Arial" w:cs="Arial"/>
          <w:sz w:val="20"/>
          <w:szCs w:val="20"/>
          <w:lang w:eastAsia="hr-HR"/>
        </w:rPr>
        <w:t xml:space="preserve">202.786.959 </w:t>
      </w:r>
      <w:r w:rsidR="002C069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kn i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manjka prihoda konto 1.200.000 kn . Iznos obavezne korekcije proveden je u skladu sa čl. 82 Pravilnika o proračunskom računovodstvu, a odnosi se na iznose knjižene na slijedećim kontima odnosno pokrivanje manjkova sa istovrsnim viškovima.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</w:p>
    <w:p w:rsidR="006474B8" w:rsidRPr="006474B8" w:rsidRDefault="006474B8" w:rsidP="002C069A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Po godišnjem obračunu izvršila su se zatvaranja po istovrsnim radhodimaa sa istovrsnim prihodima: Na kontu 92223 majak prihoda od nefinancijske imovine konto 9222231 pokriven je iz viškom prihoda konto 9221231. u iznosu </w:t>
      </w:r>
      <w:r w:rsidR="002C069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_________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kn. manjak prihoda od nefinancijkse imovine konto 9222243 u iznosu </w:t>
      </w:r>
      <w:r w:rsidR="002C069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___________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 pokriven je istovrsnim viškom od nefinancijske imovine konto 9221243.  </w:t>
      </w:r>
    </w:p>
    <w:p w:rsidR="006474B8" w:rsidRPr="006474B8" w:rsidRDefault="006474B8" w:rsidP="006474B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color w:val="8064A2"/>
          <w:sz w:val="24"/>
          <w:szCs w:val="24"/>
          <w:lang w:eastAsia="hr-HR"/>
        </w:rPr>
      </w:pPr>
    </w:p>
    <w:p w:rsidR="006474B8" w:rsidRPr="006474B8" w:rsidRDefault="002C069A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 xml:space="preserve">AOP 244 / AOP 245 </w:t>
      </w:r>
      <w:r w:rsidR="006474B8" w:rsidRPr="006474B8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Izvanbilančna aktiva/pasiva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Ukupna vrijednost izvanbilančnih stavki Ustanove na dan 31.12.201</w:t>
      </w:r>
      <w:r w:rsidR="002C069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. godine iznosi </w:t>
      </w:r>
      <w:r w:rsidR="00430E6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47.024.661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kn. Iznos je </w:t>
      </w:r>
      <w:r w:rsidR="00430E6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pao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u odnosu na prethodnu godinu i odnosi se na slijedeće stavke: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Garancije za dobro izvršenje ugovora od strane dobavljača</w:t>
      </w:r>
    </w:p>
    <w:p w:rsidR="006474B8" w:rsidRPr="006474B8" w:rsidRDefault="006474B8" w:rsidP="006474B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1. garancije     </w:t>
      </w:r>
      <w:r w:rsidR="00430E6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  </w:t>
      </w:r>
      <w:r w:rsidR="00430E6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9.434.268 kn</w:t>
      </w:r>
    </w:p>
    <w:p w:rsidR="006474B8" w:rsidRPr="006474B8" w:rsidRDefault="006474B8" w:rsidP="006474B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2.zadužnice        </w:t>
      </w:r>
      <w:r w:rsidR="00430E6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15.243.318 kn</w:t>
      </w:r>
    </w:p>
    <w:p w:rsidR="006474B8" w:rsidRPr="006474B8" w:rsidRDefault="006474B8" w:rsidP="006474B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Garancije za dobro izvršenje ugovora od strane kupaca</w:t>
      </w:r>
    </w:p>
    <w:p w:rsidR="006474B8" w:rsidRPr="006474B8" w:rsidRDefault="006474B8" w:rsidP="006474B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1. zadužnice       </w:t>
      </w:r>
      <w:r w:rsidR="00430E6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19.170.000 kn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      </w:t>
      </w:r>
    </w:p>
    <w:p w:rsidR="006474B8" w:rsidRPr="006474B8" w:rsidRDefault="006474B8" w:rsidP="006474B8">
      <w:pPr>
        <w:spacing w:after="0" w:line="240" w:lineRule="auto"/>
        <w:ind w:left="720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Ukupno:              43.</w:t>
      </w:r>
      <w:r w:rsidR="00430E6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847.586 kn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br/>
      </w:r>
    </w:p>
    <w:p w:rsidR="006474B8" w:rsidRPr="006474B8" w:rsidRDefault="006474B8" w:rsidP="006474B8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Komisona roba na skladištu  16</w:t>
      </w:r>
      <w:r w:rsidR="00430E6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2.984</w:t>
      </w:r>
    </w:p>
    <w:p w:rsidR="006474B8" w:rsidRDefault="006474B8" w:rsidP="006474B8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Komisona roba u trgovini      </w:t>
      </w:r>
      <w:r w:rsidR="00430E6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1.095.389</w:t>
      </w:r>
    </w:p>
    <w:p w:rsidR="00430E6E" w:rsidRPr="006474B8" w:rsidRDefault="00430E6E" w:rsidP="006474B8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Nefakturirana 2.568 kn</w:t>
      </w:r>
    </w:p>
    <w:p w:rsidR="006474B8" w:rsidRPr="00430E6E" w:rsidRDefault="006474B8" w:rsidP="00430E6E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Ostali izvanbilanički zapisi – sudski sporovi </w:t>
      </w:r>
      <w:r w:rsidR="00430E6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1.921.269 kn</w:t>
      </w:r>
    </w:p>
    <w:p w:rsidR="006474B8" w:rsidRPr="006474B8" w:rsidRDefault="006474B8" w:rsidP="006474B8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ukupna vrijednost sporova koje vodi Ustanova iznose 3.489.189 kn. </w:t>
      </w:r>
    </w:p>
    <w:p w:rsidR="006474B8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:rsidR="00214B44" w:rsidRDefault="00214B44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:rsidR="00214B44" w:rsidRDefault="00214B44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:rsidR="00214B44" w:rsidRDefault="00214B44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:rsidR="00214B44" w:rsidRDefault="00214B44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:rsidR="00214B44" w:rsidRDefault="00214B44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:rsidR="00214B44" w:rsidRDefault="00214B44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:rsidR="00214B44" w:rsidRDefault="00214B44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:rsidR="00214B44" w:rsidRDefault="00214B44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:rsidR="00214B44" w:rsidRDefault="00214B44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:rsidR="003339AC" w:rsidRDefault="003339AC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:rsidR="003339AC" w:rsidRDefault="003339AC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:rsidR="003339AC" w:rsidRPr="006474B8" w:rsidRDefault="003339AC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bdr w:val="single" w:sz="4" w:space="0" w:color="auto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6"/>
          <w:szCs w:val="26"/>
          <w:bdr w:val="single" w:sz="4" w:space="0" w:color="auto"/>
          <w:lang w:eastAsia="hr-HR"/>
        </w:rPr>
        <w:t xml:space="preserve">Bilješka br. 4: Bilješke uz Izvještaj o promjenama Ras funkcijski (VP 154)  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noProof/>
          <w:color w:val="8064A2"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noProof/>
          <w:color w:val="8064A2"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  <w:r w:rsidRPr="006474B8">
        <w:rPr>
          <w:rFonts w:ascii="Calibri" w:eastAsia="Times New Roman" w:hAnsi="Calibri" w:cs="Times New Roman" w:hint="eastAsia"/>
          <w:b/>
          <w:i/>
          <w:noProof/>
          <w:sz w:val="26"/>
          <w:szCs w:val="26"/>
          <w:lang w:eastAsia="hr-HR"/>
        </w:rPr>
        <w:t xml:space="preserve">Bilješke će pratiti Obrazac </w:t>
      </w:r>
      <w:r w:rsidRPr="006474B8"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  <w:t>RAS funkcijski</w:t>
      </w:r>
      <w:r w:rsidRPr="006474B8">
        <w:rPr>
          <w:rFonts w:ascii="Calibri" w:eastAsia="Times New Roman" w:hAnsi="Calibri" w:cs="Times New Roman" w:hint="eastAsia"/>
          <w:b/>
          <w:i/>
          <w:noProof/>
          <w:sz w:val="26"/>
          <w:szCs w:val="26"/>
          <w:lang w:eastAsia="hr-HR"/>
        </w:rPr>
        <w:t xml:space="preserve"> (VP 15</w:t>
      </w:r>
      <w:r w:rsidRPr="006474B8"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  <w:t>4</w:t>
      </w:r>
      <w:r w:rsidRPr="006474B8">
        <w:rPr>
          <w:rFonts w:ascii="Calibri" w:eastAsia="Times New Roman" w:hAnsi="Calibri" w:cs="Times New Roman" w:hint="eastAsia"/>
          <w:b/>
          <w:i/>
          <w:noProof/>
          <w:sz w:val="26"/>
          <w:szCs w:val="26"/>
          <w:lang w:eastAsia="hr-HR"/>
        </w:rPr>
        <w:t>)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  <w:t>IZVJEŠTAJ O RASHODIMA PREMA FUNKCIJSKOJ KLASIFIKACIJI</w:t>
      </w:r>
    </w:p>
    <w:p w:rsidR="006474B8" w:rsidRPr="006474B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</w:p>
    <w:p w:rsidR="006474B8" w:rsidRPr="006474B8" w:rsidRDefault="006474B8" w:rsidP="006474B8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hr-HR"/>
        </w:rPr>
      </w:pPr>
    </w:p>
    <w:p w:rsidR="006474B8" w:rsidRDefault="006474B8" w:rsidP="006474B8">
      <w:p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Javna ustanova nacionalni park Plitvička jezera je prema naputku Ministarstva financija i dostavljeni uputa izvještaj o rashodima prema funkcijskoj klasifikaciji popunila u dvije pozicije:</w:t>
      </w:r>
    </w:p>
    <w:p w:rsidR="00370DAE" w:rsidRDefault="00370DAE" w:rsidP="006474B8">
      <w:p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370DAE" w:rsidRPr="006474B8" w:rsidRDefault="00370DAE" w:rsidP="006474B8">
      <w:p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Default="006474B8" w:rsidP="006474B8">
      <w:pPr>
        <w:numPr>
          <w:ilvl w:val="0"/>
          <w:numId w:val="12"/>
        </w:numPr>
        <w:spacing w:after="200" w:line="276" w:lineRule="auto"/>
        <w:contextualSpacing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Funkcijska klasifikacija  -  0472 AOP-059 Hoteli i restorani </w:t>
      </w:r>
      <w:r w:rsidR="003339A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152.327.355</w:t>
      </w:r>
    </w:p>
    <w:p w:rsidR="006474B8" w:rsidRPr="006474B8" w:rsidRDefault="006474B8" w:rsidP="003339AC">
      <w:pPr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numPr>
          <w:ilvl w:val="0"/>
          <w:numId w:val="12"/>
        </w:numPr>
        <w:spacing w:after="200" w:line="276" w:lineRule="auto"/>
        <w:contextualSpacing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Funkcijska klasifikacija - 054 - AOP-075 Zaštita bioraznolikosti krajolika </w:t>
      </w:r>
      <w:r w:rsidR="003339A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166.570.274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</w:p>
    <w:p w:rsidR="006474B8" w:rsidRPr="006474B8" w:rsidRDefault="006474B8" w:rsidP="006474B8">
      <w:pPr>
        <w:spacing w:after="0" w:line="240" w:lineRule="auto"/>
        <w:ind w:left="708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ind w:firstLine="720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Na poziciji   AOP- 075 obuhvaćene su sve ostale djelatnosti osim Hotela i restorana što je vidljivo u navedenoj tabeli.</w:t>
      </w:r>
    </w:p>
    <w:p w:rsidR="006474B8" w:rsidRPr="006474B8" w:rsidRDefault="006474B8" w:rsidP="006474B8">
      <w:pPr>
        <w:tabs>
          <w:tab w:val="left" w:pos="156"/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noProof/>
          <w:szCs w:val="20"/>
          <w:lang w:eastAsia="hr-HR"/>
        </w:rPr>
      </w:pPr>
    </w:p>
    <w:tbl>
      <w:tblPr>
        <w:tblW w:w="94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3"/>
        <w:gridCol w:w="4226"/>
        <w:gridCol w:w="563"/>
        <w:gridCol w:w="1418"/>
        <w:gridCol w:w="1320"/>
        <w:gridCol w:w="1095"/>
      </w:tblGrid>
      <w:tr w:rsidR="006474B8" w:rsidRPr="006474B8" w:rsidTr="003339AC">
        <w:trPr>
          <w:trHeight w:val="255"/>
        </w:trPr>
        <w:tc>
          <w:tcPr>
            <w:tcW w:w="80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vAlign w:val="center"/>
            <w:hideMark/>
          </w:tcPr>
          <w:p w:rsidR="006474B8" w:rsidRPr="006474B8" w:rsidRDefault="006474B8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>Brojč. ozn. funk. klas.</w:t>
            </w:r>
          </w:p>
        </w:tc>
        <w:tc>
          <w:tcPr>
            <w:tcW w:w="4226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noWrap/>
            <w:vAlign w:val="center"/>
            <w:hideMark/>
          </w:tcPr>
          <w:p w:rsidR="006474B8" w:rsidRPr="006474B8" w:rsidRDefault="006474B8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FF"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noProof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63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vAlign w:val="center"/>
            <w:hideMark/>
          </w:tcPr>
          <w:p w:rsidR="006474B8" w:rsidRPr="006474B8" w:rsidRDefault="006474B8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noWrap/>
            <w:vAlign w:val="center"/>
            <w:hideMark/>
          </w:tcPr>
          <w:p w:rsidR="006474B8" w:rsidRPr="006474B8" w:rsidRDefault="006474B8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FF"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noProof/>
                <w:color w:val="FFFFFF"/>
                <w:sz w:val="18"/>
                <w:szCs w:val="18"/>
                <w:lang w:eastAsia="hr-HR"/>
              </w:rPr>
              <w:t>Ostvareno u prethodnoj godini</w:t>
            </w:r>
          </w:p>
        </w:tc>
        <w:tc>
          <w:tcPr>
            <w:tcW w:w="1320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noWrap/>
            <w:vAlign w:val="center"/>
            <w:hideMark/>
          </w:tcPr>
          <w:p w:rsidR="006474B8" w:rsidRPr="006474B8" w:rsidRDefault="006474B8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FF"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noProof/>
                <w:color w:val="FFFFFF"/>
                <w:sz w:val="18"/>
                <w:szCs w:val="18"/>
                <w:lang w:eastAsia="hr-HR"/>
              </w:rPr>
              <w:t>Ostvareno u tekućoj godini</w:t>
            </w:r>
          </w:p>
        </w:tc>
        <w:tc>
          <w:tcPr>
            <w:tcW w:w="109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noWrap/>
            <w:vAlign w:val="center"/>
            <w:hideMark/>
          </w:tcPr>
          <w:p w:rsidR="006474B8" w:rsidRPr="006474B8" w:rsidRDefault="006474B8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FF"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noProof/>
                <w:color w:val="FFFFFF"/>
                <w:sz w:val="18"/>
                <w:szCs w:val="18"/>
                <w:lang w:eastAsia="hr-HR"/>
              </w:rPr>
              <w:t>Indeks</w:t>
            </w:r>
            <w:r w:rsidRPr="006474B8">
              <w:rPr>
                <w:rFonts w:ascii="Arial" w:eastAsia="Times New Roman" w:hAnsi="Arial" w:cs="Arial"/>
                <w:b/>
                <w:bCs/>
                <w:noProof/>
                <w:color w:val="FFFFFF"/>
                <w:sz w:val="18"/>
                <w:szCs w:val="18"/>
                <w:lang w:eastAsia="hr-HR"/>
              </w:rPr>
              <w:br/>
              <w:t>(5/4)</w:t>
            </w:r>
          </w:p>
        </w:tc>
      </w:tr>
      <w:tr w:rsidR="006474B8" w:rsidRPr="006474B8" w:rsidTr="003339AC">
        <w:trPr>
          <w:trHeight w:val="255"/>
        </w:trPr>
        <w:tc>
          <w:tcPr>
            <w:tcW w:w="80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70AD47"/>
            <w:vAlign w:val="center"/>
            <w:hideMark/>
          </w:tcPr>
          <w:p w:rsidR="006474B8" w:rsidRPr="006474B8" w:rsidRDefault="006474B8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26" w:type="dxa"/>
            <w:shd w:val="clear" w:color="auto" w:fill="C5E0B3"/>
            <w:noWrap/>
            <w:vAlign w:val="center"/>
            <w:hideMark/>
          </w:tcPr>
          <w:p w:rsidR="006474B8" w:rsidRPr="006474B8" w:rsidRDefault="006474B8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3" w:type="dxa"/>
            <w:shd w:val="clear" w:color="auto" w:fill="C5E0B3"/>
            <w:vAlign w:val="center"/>
            <w:hideMark/>
          </w:tcPr>
          <w:p w:rsidR="006474B8" w:rsidRPr="006474B8" w:rsidRDefault="006474B8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18" w:type="dxa"/>
            <w:shd w:val="clear" w:color="auto" w:fill="C5E0B3"/>
            <w:noWrap/>
            <w:vAlign w:val="center"/>
            <w:hideMark/>
          </w:tcPr>
          <w:p w:rsidR="006474B8" w:rsidRPr="006474B8" w:rsidRDefault="006474B8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20" w:type="dxa"/>
            <w:shd w:val="clear" w:color="auto" w:fill="C5E0B3"/>
            <w:noWrap/>
            <w:vAlign w:val="center"/>
            <w:hideMark/>
          </w:tcPr>
          <w:p w:rsidR="006474B8" w:rsidRPr="006474B8" w:rsidRDefault="006474B8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95" w:type="dxa"/>
            <w:shd w:val="clear" w:color="auto" w:fill="C5E0B3"/>
            <w:noWrap/>
            <w:vAlign w:val="center"/>
            <w:hideMark/>
          </w:tcPr>
          <w:p w:rsidR="006474B8" w:rsidRPr="006474B8" w:rsidRDefault="006474B8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6</w:t>
            </w:r>
          </w:p>
        </w:tc>
      </w:tr>
      <w:tr w:rsidR="003339AC" w:rsidRPr="006474B8" w:rsidTr="003339AC">
        <w:trPr>
          <w:trHeight w:val="255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:rsidR="003339AC" w:rsidRPr="006474B8" w:rsidRDefault="003339AC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>04</w:t>
            </w:r>
          </w:p>
        </w:tc>
        <w:tc>
          <w:tcPr>
            <w:tcW w:w="4226" w:type="dxa"/>
            <w:shd w:val="clear" w:color="auto" w:fill="E2EFD9"/>
            <w:noWrap/>
            <w:vAlign w:val="center"/>
            <w:hideMark/>
          </w:tcPr>
          <w:p w:rsidR="003339AC" w:rsidRPr="006474B8" w:rsidRDefault="003339AC" w:rsidP="003339AC">
            <w:pPr>
              <w:spacing w:after="0" w:line="36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Ekonomski poslovi (AOP 032+035+039+046+050+056+057+062+070)</w:t>
            </w:r>
          </w:p>
        </w:tc>
        <w:tc>
          <w:tcPr>
            <w:tcW w:w="563" w:type="dxa"/>
            <w:shd w:val="clear" w:color="auto" w:fill="E2EFD9"/>
            <w:vAlign w:val="center"/>
            <w:hideMark/>
          </w:tcPr>
          <w:p w:rsidR="003339AC" w:rsidRPr="006474B8" w:rsidRDefault="003339AC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1418" w:type="dxa"/>
            <w:shd w:val="clear" w:color="auto" w:fill="E2EFD9"/>
            <w:noWrap/>
            <w:vAlign w:val="center"/>
            <w:hideMark/>
          </w:tcPr>
          <w:p w:rsidR="003339AC" w:rsidRPr="006474B8" w:rsidRDefault="003339AC" w:rsidP="00083061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115.842.445</w:t>
            </w:r>
          </w:p>
        </w:tc>
        <w:tc>
          <w:tcPr>
            <w:tcW w:w="1320" w:type="dxa"/>
            <w:shd w:val="clear" w:color="auto" w:fill="E2EFD9"/>
            <w:noWrap/>
            <w:vAlign w:val="center"/>
          </w:tcPr>
          <w:p w:rsidR="003339AC" w:rsidRPr="006474B8" w:rsidRDefault="003339AC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152.327.355</w:t>
            </w:r>
          </w:p>
        </w:tc>
        <w:tc>
          <w:tcPr>
            <w:tcW w:w="1095" w:type="dxa"/>
            <w:shd w:val="clear" w:color="auto" w:fill="E2EFD9"/>
            <w:noWrap/>
            <w:vAlign w:val="center"/>
            <w:hideMark/>
          </w:tcPr>
          <w:p w:rsidR="003339AC" w:rsidRPr="006474B8" w:rsidRDefault="003339AC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131,5</w:t>
            </w:r>
          </w:p>
        </w:tc>
      </w:tr>
      <w:tr w:rsidR="003339AC" w:rsidRPr="006474B8" w:rsidTr="003339AC">
        <w:trPr>
          <w:trHeight w:val="255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:rsidR="003339AC" w:rsidRPr="006474B8" w:rsidRDefault="003339AC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>0472</w:t>
            </w:r>
          </w:p>
        </w:tc>
        <w:tc>
          <w:tcPr>
            <w:tcW w:w="4226" w:type="dxa"/>
            <w:shd w:val="clear" w:color="auto" w:fill="C5E0B3"/>
            <w:noWrap/>
            <w:vAlign w:val="center"/>
            <w:hideMark/>
          </w:tcPr>
          <w:p w:rsidR="003339AC" w:rsidRPr="006474B8" w:rsidRDefault="003339AC" w:rsidP="003339AC">
            <w:pPr>
              <w:spacing w:after="0" w:line="36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Hoteli i restorani</w:t>
            </w:r>
          </w:p>
        </w:tc>
        <w:tc>
          <w:tcPr>
            <w:tcW w:w="563" w:type="dxa"/>
            <w:shd w:val="clear" w:color="auto" w:fill="C5E0B3"/>
            <w:vAlign w:val="center"/>
            <w:hideMark/>
          </w:tcPr>
          <w:p w:rsidR="003339AC" w:rsidRPr="006474B8" w:rsidRDefault="003339AC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hr-HR"/>
              </w:rPr>
              <w:t>059</w:t>
            </w:r>
          </w:p>
        </w:tc>
        <w:tc>
          <w:tcPr>
            <w:tcW w:w="1418" w:type="dxa"/>
            <w:shd w:val="clear" w:color="auto" w:fill="C5E0B3"/>
            <w:noWrap/>
            <w:vAlign w:val="center"/>
            <w:hideMark/>
          </w:tcPr>
          <w:p w:rsidR="003339AC" w:rsidRPr="006474B8" w:rsidRDefault="003339AC" w:rsidP="00083061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115.842.445</w:t>
            </w:r>
          </w:p>
        </w:tc>
        <w:tc>
          <w:tcPr>
            <w:tcW w:w="1320" w:type="dxa"/>
            <w:shd w:val="clear" w:color="auto" w:fill="C5E0B3"/>
            <w:noWrap/>
            <w:vAlign w:val="center"/>
          </w:tcPr>
          <w:p w:rsidR="003339AC" w:rsidRPr="006474B8" w:rsidRDefault="003339AC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152.327.355</w:t>
            </w:r>
          </w:p>
        </w:tc>
        <w:tc>
          <w:tcPr>
            <w:tcW w:w="1095" w:type="dxa"/>
            <w:shd w:val="clear" w:color="auto" w:fill="C5E0B3"/>
            <w:noWrap/>
            <w:vAlign w:val="center"/>
            <w:hideMark/>
          </w:tcPr>
          <w:p w:rsidR="003339AC" w:rsidRPr="006474B8" w:rsidRDefault="003339AC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131,5</w:t>
            </w:r>
          </w:p>
        </w:tc>
      </w:tr>
      <w:tr w:rsidR="003339AC" w:rsidRPr="006474B8" w:rsidTr="003339AC">
        <w:trPr>
          <w:trHeight w:val="255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:rsidR="003339AC" w:rsidRPr="006474B8" w:rsidRDefault="003339AC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>05</w:t>
            </w:r>
          </w:p>
        </w:tc>
        <w:tc>
          <w:tcPr>
            <w:tcW w:w="4226" w:type="dxa"/>
            <w:shd w:val="clear" w:color="auto" w:fill="E2EFD9"/>
            <w:noWrap/>
            <w:vAlign w:val="center"/>
            <w:hideMark/>
          </w:tcPr>
          <w:p w:rsidR="003339AC" w:rsidRPr="006474B8" w:rsidRDefault="003339AC" w:rsidP="003339AC">
            <w:pPr>
              <w:spacing w:after="0" w:line="36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Zaštita okoliša (AOP 072 do 077)</w:t>
            </w:r>
          </w:p>
        </w:tc>
        <w:tc>
          <w:tcPr>
            <w:tcW w:w="563" w:type="dxa"/>
            <w:shd w:val="clear" w:color="auto" w:fill="E2EFD9"/>
            <w:vAlign w:val="center"/>
            <w:hideMark/>
          </w:tcPr>
          <w:p w:rsidR="003339AC" w:rsidRPr="006474B8" w:rsidRDefault="003339AC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hr-HR"/>
              </w:rPr>
              <w:t>071</w:t>
            </w:r>
          </w:p>
        </w:tc>
        <w:tc>
          <w:tcPr>
            <w:tcW w:w="1418" w:type="dxa"/>
            <w:shd w:val="clear" w:color="auto" w:fill="E2EFD9"/>
            <w:noWrap/>
            <w:vAlign w:val="center"/>
            <w:hideMark/>
          </w:tcPr>
          <w:p w:rsidR="003339AC" w:rsidRPr="006474B8" w:rsidRDefault="003339AC" w:rsidP="00083061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164.958.028</w:t>
            </w:r>
          </w:p>
        </w:tc>
        <w:tc>
          <w:tcPr>
            <w:tcW w:w="1320" w:type="dxa"/>
            <w:shd w:val="clear" w:color="auto" w:fill="E2EFD9"/>
            <w:noWrap/>
            <w:vAlign w:val="center"/>
          </w:tcPr>
          <w:p w:rsidR="003339AC" w:rsidRPr="006474B8" w:rsidRDefault="003339AC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166.570.274</w:t>
            </w:r>
          </w:p>
        </w:tc>
        <w:tc>
          <w:tcPr>
            <w:tcW w:w="1095" w:type="dxa"/>
            <w:shd w:val="clear" w:color="auto" w:fill="E2EFD9"/>
            <w:noWrap/>
            <w:vAlign w:val="center"/>
            <w:hideMark/>
          </w:tcPr>
          <w:p w:rsidR="003339AC" w:rsidRPr="006474B8" w:rsidRDefault="003339AC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101</w:t>
            </w:r>
          </w:p>
        </w:tc>
      </w:tr>
      <w:tr w:rsidR="003339AC" w:rsidRPr="006474B8" w:rsidTr="003339AC">
        <w:trPr>
          <w:trHeight w:val="255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:rsidR="003339AC" w:rsidRPr="006474B8" w:rsidRDefault="003339AC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>054</w:t>
            </w:r>
          </w:p>
        </w:tc>
        <w:tc>
          <w:tcPr>
            <w:tcW w:w="4226" w:type="dxa"/>
            <w:shd w:val="clear" w:color="auto" w:fill="C5E0B3"/>
            <w:noWrap/>
            <w:vAlign w:val="center"/>
            <w:hideMark/>
          </w:tcPr>
          <w:p w:rsidR="003339AC" w:rsidRPr="006474B8" w:rsidRDefault="003339AC" w:rsidP="003339AC">
            <w:pPr>
              <w:spacing w:after="0" w:line="36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Zaštita bioraznolikosti i krajolika</w:t>
            </w:r>
          </w:p>
        </w:tc>
        <w:tc>
          <w:tcPr>
            <w:tcW w:w="563" w:type="dxa"/>
            <w:shd w:val="clear" w:color="auto" w:fill="C5E0B3"/>
            <w:vAlign w:val="center"/>
            <w:hideMark/>
          </w:tcPr>
          <w:p w:rsidR="003339AC" w:rsidRPr="006474B8" w:rsidRDefault="003339AC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hr-HR"/>
              </w:rPr>
              <w:t>075</w:t>
            </w:r>
          </w:p>
        </w:tc>
        <w:tc>
          <w:tcPr>
            <w:tcW w:w="1418" w:type="dxa"/>
            <w:shd w:val="clear" w:color="auto" w:fill="C5E0B3"/>
            <w:noWrap/>
            <w:vAlign w:val="center"/>
            <w:hideMark/>
          </w:tcPr>
          <w:p w:rsidR="003339AC" w:rsidRPr="006474B8" w:rsidRDefault="003339AC" w:rsidP="00083061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164.958.028</w:t>
            </w:r>
          </w:p>
        </w:tc>
        <w:tc>
          <w:tcPr>
            <w:tcW w:w="1320" w:type="dxa"/>
            <w:shd w:val="clear" w:color="auto" w:fill="C5E0B3"/>
            <w:noWrap/>
            <w:vAlign w:val="center"/>
          </w:tcPr>
          <w:p w:rsidR="003339AC" w:rsidRPr="006474B8" w:rsidRDefault="003339AC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166.570.274</w:t>
            </w:r>
          </w:p>
        </w:tc>
        <w:tc>
          <w:tcPr>
            <w:tcW w:w="1095" w:type="dxa"/>
            <w:shd w:val="clear" w:color="auto" w:fill="C5E0B3"/>
            <w:noWrap/>
            <w:vAlign w:val="center"/>
            <w:hideMark/>
          </w:tcPr>
          <w:p w:rsidR="003339AC" w:rsidRPr="006474B8" w:rsidRDefault="003339AC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101</w:t>
            </w:r>
          </w:p>
        </w:tc>
      </w:tr>
      <w:tr w:rsidR="003339AC" w:rsidRPr="006474B8" w:rsidTr="003339AC">
        <w:trPr>
          <w:trHeight w:val="255"/>
        </w:trPr>
        <w:tc>
          <w:tcPr>
            <w:tcW w:w="80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vAlign w:val="center"/>
            <w:hideMark/>
          </w:tcPr>
          <w:p w:rsidR="003339AC" w:rsidRPr="006474B8" w:rsidRDefault="003339AC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26" w:type="dxa"/>
            <w:shd w:val="clear" w:color="auto" w:fill="E2EFD9"/>
            <w:noWrap/>
            <w:vAlign w:val="center"/>
            <w:hideMark/>
          </w:tcPr>
          <w:p w:rsidR="003339AC" w:rsidRPr="006474B8" w:rsidRDefault="003339AC" w:rsidP="003339AC">
            <w:pPr>
              <w:spacing w:after="0" w:line="36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Kontrolni zbroj (AOP 001+018+024+031+071+078+085+103+110+125)</w:t>
            </w:r>
          </w:p>
        </w:tc>
        <w:tc>
          <w:tcPr>
            <w:tcW w:w="563" w:type="dxa"/>
            <w:shd w:val="clear" w:color="auto" w:fill="E2EFD9"/>
            <w:vAlign w:val="center"/>
            <w:hideMark/>
          </w:tcPr>
          <w:p w:rsidR="003339AC" w:rsidRPr="006474B8" w:rsidRDefault="003339AC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hr-HR"/>
              </w:rPr>
            </w:pPr>
            <w:r w:rsidRPr="006474B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1418" w:type="dxa"/>
            <w:shd w:val="clear" w:color="auto" w:fill="E2EFD9"/>
            <w:noWrap/>
            <w:vAlign w:val="center"/>
            <w:hideMark/>
          </w:tcPr>
          <w:p w:rsidR="003339AC" w:rsidRPr="006474B8" w:rsidRDefault="003339AC" w:rsidP="00083061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6474B8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207.107.427</w:t>
            </w:r>
          </w:p>
        </w:tc>
        <w:tc>
          <w:tcPr>
            <w:tcW w:w="1320" w:type="dxa"/>
            <w:shd w:val="clear" w:color="auto" w:fill="E2EFD9"/>
            <w:noWrap/>
            <w:vAlign w:val="center"/>
          </w:tcPr>
          <w:p w:rsidR="003339AC" w:rsidRPr="006474B8" w:rsidRDefault="003339AC" w:rsidP="003339AC">
            <w:pPr>
              <w:spacing w:after="0" w:line="36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318.897.629</w:t>
            </w:r>
          </w:p>
        </w:tc>
        <w:tc>
          <w:tcPr>
            <w:tcW w:w="1095" w:type="dxa"/>
            <w:shd w:val="clear" w:color="auto" w:fill="E2EFD9"/>
            <w:noWrap/>
            <w:vAlign w:val="center"/>
            <w:hideMark/>
          </w:tcPr>
          <w:p w:rsidR="003339AC" w:rsidRPr="006474B8" w:rsidRDefault="003339AC" w:rsidP="006474B8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113,6</w:t>
            </w:r>
          </w:p>
        </w:tc>
      </w:tr>
    </w:tbl>
    <w:p w:rsidR="006474B8" w:rsidRPr="006474B8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hr-HR"/>
        </w:rPr>
      </w:pPr>
    </w:p>
    <w:p w:rsid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color w:val="8064A2"/>
          <w:sz w:val="24"/>
          <w:szCs w:val="24"/>
          <w:lang w:eastAsia="hr-HR"/>
        </w:rPr>
      </w:pPr>
    </w:p>
    <w:p w:rsidR="00E30596" w:rsidRDefault="00E305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color w:val="8064A2"/>
          <w:sz w:val="24"/>
          <w:szCs w:val="24"/>
          <w:lang w:eastAsia="hr-HR"/>
        </w:rPr>
      </w:pPr>
    </w:p>
    <w:p w:rsidR="00E30596" w:rsidRDefault="00E305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color w:val="8064A2"/>
          <w:sz w:val="24"/>
          <w:szCs w:val="24"/>
          <w:lang w:eastAsia="hr-HR"/>
        </w:rPr>
      </w:pPr>
    </w:p>
    <w:p w:rsidR="00E30596" w:rsidRDefault="00E305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color w:val="8064A2"/>
          <w:sz w:val="24"/>
          <w:szCs w:val="24"/>
          <w:lang w:eastAsia="hr-HR"/>
        </w:rPr>
      </w:pPr>
    </w:p>
    <w:p w:rsidR="00E30596" w:rsidRDefault="00E305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color w:val="8064A2"/>
          <w:sz w:val="24"/>
          <w:szCs w:val="24"/>
          <w:lang w:eastAsia="hr-HR"/>
        </w:rPr>
      </w:pPr>
    </w:p>
    <w:p w:rsidR="00E30596" w:rsidRDefault="00E305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color w:val="8064A2"/>
          <w:sz w:val="24"/>
          <w:szCs w:val="24"/>
          <w:lang w:eastAsia="hr-HR"/>
        </w:rPr>
      </w:pPr>
    </w:p>
    <w:p w:rsidR="00E30596" w:rsidRDefault="00E305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color w:val="8064A2"/>
          <w:sz w:val="24"/>
          <w:szCs w:val="24"/>
          <w:lang w:eastAsia="hr-HR"/>
        </w:rPr>
      </w:pPr>
    </w:p>
    <w:p w:rsidR="00E30596" w:rsidRDefault="00E305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color w:val="8064A2"/>
          <w:sz w:val="24"/>
          <w:szCs w:val="24"/>
          <w:lang w:eastAsia="hr-HR"/>
        </w:rPr>
      </w:pPr>
    </w:p>
    <w:p w:rsidR="00E30596" w:rsidRDefault="00E305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color w:val="8064A2"/>
          <w:sz w:val="24"/>
          <w:szCs w:val="24"/>
          <w:lang w:eastAsia="hr-HR"/>
        </w:rPr>
      </w:pPr>
    </w:p>
    <w:p w:rsidR="00E30596" w:rsidRDefault="00E305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color w:val="8064A2"/>
          <w:sz w:val="24"/>
          <w:szCs w:val="24"/>
          <w:lang w:eastAsia="hr-HR"/>
        </w:rPr>
      </w:pPr>
    </w:p>
    <w:p w:rsidR="00E30596" w:rsidRDefault="00E305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color w:val="8064A2"/>
          <w:sz w:val="24"/>
          <w:szCs w:val="24"/>
          <w:lang w:eastAsia="hr-HR"/>
        </w:rPr>
      </w:pPr>
    </w:p>
    <w:p w:rsidR="00E30596" w:rsidRDefault="00E305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color w:val="8064A2"/>
          <w:sz w:val="24"/>
          <w:szCs w:val="24"/>
          <w:lang w:eastAsia="hr-HR"/>
        </w:rPr>
      </w:pPr>
    </w:p>
    <w:p w:rsidR="00E30596" w:rsidRPr="006474B8" w:rsidRDefault="00E305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color w:val="8064A2"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bdr w:val="single" w:sz="4" w:space="0" w:color="auto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6"/>
          <w:szCs w:val="26"/>
          <w:bdr w:val="single" w:sz="4" w:space="0" w:color="auto"/>
          <w:lang w:eastAsia="hr-HR"/>
        </w:rPr>
        <w:t xml:space="preserve">Bilješka br. 4.:  Bilješke uz Izvještaj o promjenama u vrijednosti i obujmu imovine </w:t>
      </w:r>
    </w:p>
    <w:p w:rsidR="00083061" w:rsidRDefault="00083061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083061" w:rsidRDefault="00083061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U Izvještaju o promjenama u vrijednos</w:t>
      </w:r>
      <w:r w:rsidR="00370DA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ti i obujmu imovine na </w:t>
      </w:r>
      <w:r w:rsidR="00370DAE" w:rsidRPr="00C33B2C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AOP-u 0</w:t>
      </w:r>
      <w:r w:rsidR="00C33B2C" w:rsidRPr="00C33B2C">
        <w:rPr>
          <w:rFonts w:ascii="Calibri" w:eastAsia="Times New Roman" w:hAnsi="Calibri" w:cs="Times New Roman"/>
          <w:b/>
          <w:i/>
          <w:noProof/>
          <w:sz w:val="24"/>
          <w:szCs w:val="20"/>
          <w:lang w:eastAsia="hr-HR"/>
        </w:rPr>
        <w:t>001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iskazano je </w:t>
      </w:r>
      <w:r w:rsidR="00370DA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smanjenje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vrijednosti imovine u iznosu od </w:t>
      </w:r>
      <w:r w:rsidR="00083061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4.430.366 </w:t>
      </w: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kn</w:t>
      </w:r>
      <w:r w:rsidR="00C33B2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</w:t>
      </w:r>
    </w:p>
    <w:p w:rsidR="00083061" w:rsidRDefault="00083061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C33B2C" w:rsidRDefault="00083061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Promjene u  obujma imovine uslije</w:t>
      </w:r>
      <w:r w:rsidR="00C33B2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dil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le su</w:t>
      </w:r>
      <w:r w:rsidR="00C33B2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  <w:r w:rsidR="00C33B2C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:</w:t>
      </w:r>
    </w:p>
    <w:p w:rsidR="00C33B2C" w:rsidRPr="006474B8" w:rsidRDefault="00C33B2C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Default="00C33B2C" w:rsidP="00C33B2C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AOP 014  Vrijednosni papiri – smanjenje vrijednosti dionica Karlovačke banke na tržišnu vrijednost, 839.372 kn</w:t>
      </w:r>
    </w:p>
    <w:p w:rsidR="00401DE0" w:rsidRPr="00370DAE" w:rsidRDefault="00401DE0" w:rsidP="00401DE0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401DE0" w:rsidRDefault="00C33B2C" w:rsidP="00401DE0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083061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AOP 014    </w:t>
      </w:r>
      <w:r w:rsidR="006474B8" w:rsidRPr="00083061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P</w:t>
      </w:r>
      <w:r w:rsidRPr="00083061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otraživanja za prihode poslovanja 651.522 kn. </w:t>
      </w:r>
      <w:r w:rsidR="00083061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prijenos Imovine Pilana Korna</w:t>
      </w:r>
    </w:p>
    <w:p w:rsidR="00083061" w:rsidRPr="00083061" w:rsidRDefault="00083061" w:rsidP="00083061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Default="00401DE0" w:rsidP="00C33B2C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AOP 020  Promjena u obujmu imovine  u iznosu 12.639.372 kn </w:t>
      </w:r>
      <w:r w:rsidR="00E3059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je p</w:t>
      </w:r>
      <w:r w:rsidR="00083061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rijenos stanova </w:t>
      </w:r>
      <w:r w:rsidR="00E30596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na RH.</w:t>
      </w:r>
    </w:p>
    <w:p w:rsidR="00401DE0" w:rsidRDefault="00401DE0" w:rsidP="00401DE0">
      <w:pPr>
        <w:pStyle w:val="Odlomakpopisa"/>
        <w:rPr>
          <w:rFonts w:ascii="Calibri" w:hAnsi="Calibri"/>
          <w:i/>
          <w:sz w:val="24"/>
        </w:rPr>
      </w:pPr>
    </w:p>
    <w:p w:rsidR="00401DE0" w:rsidRPr="006474B8" w:rsidRDefault="00401DE0" w:rsidP="00083061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Default="006474B8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935E99" w:rsidRDefault="00935E99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067B86" w:rsidRDefault="00067B86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067B86" w:rsidRDefault="00067B86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067B86" w:rsidRPr="006474B8" w:rsidRDefault="00067B86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bdr w:val="single" w:sz="4" w:space="0" w:color="auto"/>
          <w:lang w:eastAsia="hr-HR"/>
        </w:rPr>
      </w:pPr>
      <w:r w:rsidRPr="006474B8">
        <w:rPr>
          <w:rFonts w:ascii="Calibri" w:eastAsia="Times New Roman" w:hAnsi="Calibri" w:cs="Times New Roman"/>
          <w:b/>
          <w:i/>
          <w:noProof/>
          <w:sz w:val="26"/>
          <w:szCs w:val="26"/>
          <w:bdr w:val="single" w:sz="4" w:space="0" w:color="auto"/>
          <w:lang w:eastAsia="hr-HR"/>
        </w:rPr>
        <w:t xml:space="preserve">Bilješka br. 5.:  Bilješke uz Izvještaj o obvezama 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</w:p>
    <w:p w:rsidR="00067B86" w:rsidRDefault="00067B86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 okviru </w:t>
      </w:r>
      <w:r w:rsidRPr="00E53B1E"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  <w:t>AOP-a 036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iskazan je ukupan iznos obveza na kraju izvještajnog razdoblja u ukupnom iznosu od </w:t>
      </w:r>
      <w:r w:rsidR="00067B86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37.904.328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kn. Tako iskazane obveze Ustanove veće su za </w:t>
      </w:r>
      <w:r w:rsidR="00AF22D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14.895.248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kn. u odnosu na stanje obveza na </w:t>
      </w:r>
      <w:r w:rsidR="00AF22D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dan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01.01.201</w:t>
      </w:r>
      <w:r w:rsidR="00AF22D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9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 godine kada su iznosile 2</w:t>
      </w:r>
      <w:r w:rsidR="00AF22D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3.009.080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kn. </w:t>
      </w:r>
      <w:r w:rsidR="00AF22D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Obveze </w:t>
      </w:r>
      <w:r w:rsidR="00417AF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na kraju razdoblja već</w:t>
      </w:r>
      <w:r w:rsidR="00AF22DD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e </w:t>
      </w:r>
      <w:r w:rsidR="00417AF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za 64,70% </w:t>
      </w:r>
      <w:r w:rsidR="00E53B1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nego na početku poslovne godine.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</w:pPr>
    </w:p>
    <w:p w:rsidR="00417AF9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color w:val="000000" w:themeColor="text1"/>
          <w:sz w:val="24"/>
          <w:szCs w:val="24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Od ukupno navedenih obveza, </w:t>
      </w:r>
      <w:r w:rsidR="00151E2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- 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 dospjeću </w:t>
      </w:r>
      <w:r w:rsidR="00151E2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su</w:t>
      </w:r>
      <w:r w:rsidR="00417AF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obvez</w:t>
      </w:r>
      <w:r w:rsidR="00151E2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e </w:t>
      </w:r>
      <w:r w:rsidR="00417AF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 vrijednosti 7.035.792 kn i sve su podmirene početkom 2020.</w:t>
      </w:r>
      <w:r w:rsidR="0049228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417AF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godine. Sve dospjele obveze odnose se na materijalne rashode.</w:t>
      </w:r>
      <w:r w:rsidR="007B21E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Nedospjele obveza</w:t>
      </w:r>
      <w:r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iznose </w:t>
      </w:r>
      <w:r w:rsidR="00417AF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30.868.536 kn.  </w:t>
      </w:r>
      <w:r w:rsidR="0049228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U nedospjelim obvezama je 1.562.</w:t>
      </w:r>
      <w:r w:rsidR="00417AF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850 kn obveza za financijsku imovinu i 29.305.686 </w:t>
      </w:r>
      <w:r w:rsidR="0049228A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 w:rsidR="00417AF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obvezea za rashode poslovanja. </w:t>
      </w:r>
      <w:r w:rsidR="007B21E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 </w:t>
      </w:r>
      <w:r w:rsidR="001365E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nedospjelim o</w:t>
      </w:r>
      <w:r w:rsidR="007B21E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bvezama za rashode poslovanja </w:t>
      </w:r>
      <w:r w:rsidR="001365EC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je 4.420.150 kn obveza za predujmove, jamčevine i depozite (garancije za dobro izvršenje posla) 10.410.959 kn</w:t>
      </w:r>
      <w:r w:rsidR="007B21E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obveza za plaću za prosinac 2019.</w:t>
      </w:r>
      <w:r w:rsidR="00E53B1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godinu.</w:t>
      </w:r>
      <w:r w:rsidR="00151E2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Ostala potraživanja </w:t>
      </w:r>
      <w:r w:rsidR="00E53B1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u iznosu 16.037.427 kn </w:t>
      </w:r>
      <w:r w:rsidR="00151E2E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odnose se na materijalne troškove i usluge.</w:t>
      </w:r>
    </w:p>
    <w:p w:rsidR="006474B8" w:rsidRPr="006474B8" w:rsidRDefault="00E53B1E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color w:val="8064A2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Prekoračenje </w:t>
      </w:r>
      <w:r w:rsidR="006474B8"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roka plaćanja j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e u većini slučajeva desi se jer računi stižu pred samu valutu, i nestignu se obrasiti.</w:t>
      </w:r>
      <w:r w:rsidR="007B21E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>. Im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a neusklađenosti sa partnerima </w:t>
      </w:r>
      <w:r w:rsidR="007B21E9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i gušenje sustava Fine radi ogromnog broja računa.</w:t>
      </w:r>
      <w:r w:rsidR="006474B8"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Nepravodobna predaja </w:t>
      </w:r>
      <w:r w:rsidR="006474B8" w:rsidRPr="006474B8">
        <w:rPr>
          <w:rFonts w:ascii="Calibri" w:eastAsia="Times New Roman" w:hAnsi="Calibri" w:cs="Times New Roman"/>
          <w:i/>
          <w:noProof/>
          <w:sz w:val="24"/>
          <w:szCs w:val="24"/>
          <w:lang w:eastAsia="hr-HR"/>
        </w:rPr>
        <w:t xml:space="preserve">računa, odnosno dešava se da se rok plaćanja poklopi sa ulaskom računa u Ustanovu. </w:t>
      </w: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color w:val="8064A2"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color w:val="8064A2"/>
          <w:sz w:val="24"/>
          <w:szCs w:val="24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color w:val="8064A2"/>
          <w:sz w:val="24"/>
          <w:szCs w:val="24"/>
          <w:lang w:eastAsia="hr-HR"/>
        </w:rPr>
      </w:pPr>
    </w:p>
    <w:p w:rsidR="006474B8" w:rsidRPr="006474B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color w:val="8064A2"/>
          <w:sz w:val="24"/>
          <w:szCs w:val="20"/>
          <w:lang w:eastAsia="hr-HR"/>
        </w:rPr>
      </w:pPr>
    </w:p>
    <w:p w:rsidR="006474B8" w:rsidRPr="006474B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Bilješke sastavila:                                                                               Bilješke odobrio:</w:t>
      </w:r>
      <w:r w:rsidR="00AF22DD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</w:t>
      </w:r>
    </w:p>
    <w:p w:rsidR="006474B8" w:rsidRPr="006474B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Roža Poznanović,                                                                             Tomislav Kovačević,</w:t>
      </w:r>
    </w:p>
    <w:p w:rsidR="006474B8" w:rsidRPr="006474B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________________________                                                    _______________________</w:t>
      </w:r>
    </w:p>
    <w:p w:rsidR="006474B8" w:rsidRPr="006474B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Voditeljica Službe ekonomsko                                                                  Ravnatelj,</w:t>
      </w:r>
    </w:p>
    <w:p w:rsidR="006474B8" w:rsidRPr="006474B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Financijksih poslova</w:t>
      </w:r>
    </w:p>
    <w:p w:rsidR="006474B8" w:rsidRPr="006474B8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6474B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ab/>
        <w:t xml:space="preserve">                                                                </w:t>
      </w:r>
    </w:p>
    <w:p w:rsidR="006474B8" w:rsidRPr="006474B8" w:rsidRDefault="006474B8" w:rsidP="006474B8">
      <w:pPr>
        <w:tabs>
          <w:tab w:val="left" w:pos="4962"/>
        </w:tabs>
        <w:spacing w:after="0" w:line="240" w:lineRule="auto"/>
        <w:ind w:left="4962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6474B8" w:rsidRPr="006474B8" w:rsidRDefault="006474B8" w:rsidP="006474B8">
      <w:pPr>
        <w:spacing w:after="0" w:line="240" w:lineRule="auto"/>
        <w:jc w:val="both"/>
        <w:rPr>
          <w:rFonts w:ascii="Calibri" w:eastAsia="Times" w:hAnsi="Calibri" w:cs="Times New Roman"/>
          <w:noProof/>
          <w:color w:val="8064A2"/>
          <w:sz w:val="24"/>
          <w:szCs w:val="20"/>
          <w:lang w:val="en-US" w:eastAsia="hr-HR"/>
        </w:rPr>
      </w:pPr>
      <w:r w:rsidRPr="006474B8">
        <w:rPr>
          <w:rFonts w:ascii="Calibri" w:eastAsia="Times" w:hAnsi="Calibri" w:cs="Times New Roman"/>
          <w:noProof/>
          <w:color w:val="8064A2"/>
          <w:sz w:val="24"/>
          <w:szCs w:val="20"/>
          <w:lang w:val="en-US" w:eastAsia="hr-HR"/>
        </w:rPr>
        <w:t xml:space="preserve">                                                                                                           </w:t>
      </w:r>
    </w:p>
    <w:p w:rsidR="006474B8" w:rsidRPr="006474B8" w:rsidRDefault="006474B8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:rsidR="00D7435D" w:rsidRDefault="00D7435D"/>
    <w:sectPr w:rsidR="00D7435D" w:rsidSect="009F78BD">
      <w:headerReference w:type="default" r:id="rId9"/>
      <w:footerReference w:type="default" r:id="rId10"/>
      <w:footerReference w:type="first" r:id="rId11"/>
      <w:pgSz w:w="11907" w:h="16839" w:code="9"/>
      <w:pgMar w:top="340" w:right="1417" w:bottom="34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D2" w:rsidRDefault="004343D2">
      <w:pPr>
        <w:spacing w:after="0" w:line="240" w:lineRule="auto"/>
      </w:pPr>
      <w:r>
        <w:separator/>
      </w:r>
    </w:p>
  </w:endnote>
  <w:endnote w:type="continuationSeparator" w:id="0">
    <w:p w:rsidR="004343D2" w:rsidRDefault="0043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156067"/>
      <w:docPartObj>
        <w:docPartGallery w:val="Page Numbers (Bottom of Page)"/>
        <w:docPartUnique/>
      </w:docPartObj>
    </w:sdtPr>
    <w:sdtEndPr/>
    <w:sdtContent>
      <w:p w:rsidR="00083061" w:rsidRDefault="0008306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03">
          <w:t>24</w:t>
        </w:r>
        <w:r>
          <w:fldChar w:fldCharType="end"/>
        </w:r>
      </w:p>
    </w:sdtContent>
  </w:sdt>
  <w:p w:rsidR="00083061" w:rsidRDefault="0008306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88962"/>
      <w:docPartObj>
        <w:docPartGallery w:val="Page Numbers (Bottom of Page)"/>
        <w:docPartUnique/>
      </w:docPartObj>
    </w:sdtPr>
    <w:sdtEndPr/>
    <w:sdtContent>
      <w:p w:rsidR="00083061" w:rsidRDefault="004343D2">
        <w:pPr>
          <w:pStyle w:val="Podnoje"/>
          <w:jc w:val="right"/>
        </w:pPr>
      </w:p>
    </w:sdtContent>
  </w:sdt>
  <w:p w:rsidR="00083061" w:rsidRDefault="000830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D2" w:rsidRDefault="004343D2">
      <w:pPr>
        <w:spacing w:after="0" w:line="240" w:lineRule="auto"/>
      </w:pPr>
      <w:r>
        <w:separator/>
      </w:r>
    </w:p>
  </w:footnote>
  <w:footnote w:type="continuationSeparator" w:id="0">
    <w:p w:rsidR="004343D2" w:rsidRDefault="0043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61" w:rsidRDefault="00083061">
    <w:pPr>
      <w:pStyle w:val="Zaglavlj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15A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62C0501"/>
    <w:multiLevelType w:val="hybridMultilevel"/>
    <w:tmpl w:val="54D4B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5184"/>
    <w:multiLevelType w:val="hybridMultilevel"/>
    <w:tmpl w:val="D85CF8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461FE"/>
    <w:multiLevelType w:val="hybridMultilevel"/>
    <w:tmpl w:val="13B687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5DE7"/>
    <w:multiLevelType w:val="hybridMultilevel"/>
    <w:tmpl w:val="581456F6"/>
    <w:lvl w:ilvl="0" w:tplc="2D72CA88">
      <w:start w:val="1"/>
      <w:numFmt w:val="upperRoman"/>
      <w:lvlText w:val="%1."/>
      <w:lvlJc w:val="left"/>
      <w:pPr>
        <w:ind w:left="9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">
    <w:nsid w:val="26360DBA"/>
    <w:multiLevelType w:val="hybridMultilevel"/>
    <w:tmpl w:val="E1B8E67C"/>
    <w:lvl w:ilvl="0" w:tplc="E13ECAC8">
      <w:start w:val="3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F7930"/>
    <w:multiLevelType w:val="hybridMultilevel"/>
    <w:tmpl w:val="581456F6"/>
    <w:lvl w:ilvl="0" w:tplc="2D72CA88">
      <w:start w:val="1"/>
      <w:numFmt w:val="upperRoman"/>
      <w:lvlText w:val="%1."/>
      <w:lvlJc w:val="left"/>
      <w:pPr>
        <w:ind w:left="9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">
    <w:nsid w:val="3C9E2CE1"/>
    <w:multiLevelType w:val="hybridMultilevel"/>
    <w:tmpl w:val="C232A45A"/>
    <w:lvl w:ilvl="0" w:tplc="AEF8D0A6">
      <w:start w:val="1"/>
      <w:numFmt w:val="bullet"/>
      <w:lvlText w:val="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8">
    <w:nsid w:val="3CA72587"/>
    <w:multiLevelType w:val="hybridMultilevel"/>
    <w:tmpl w:val="4078B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A4929"/>
    <w:multiLevelType w:val="multilevel"/>
    <w:tmpl w:val="B824D8E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0">
    <w:nsid w:val="45800584"/>
    <w:multiLevelType w:val="hybridMultilevel"/>
    <w:tmpl w:val="BEE4E266"/>
    <w:lvl w:ilvl="0" w:tplc="F4A627EA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890C1C"/>
    <w:multiLevelType w:val="multilevel"/>
    <w:tmpl w:val="99F6EE02"/>
    <w:lvl w:ilvl="0">
      <w:start w:val="317"/>
      <w:numFmt w:val="decimal"/>
      <w:lvlText w:val="%1"/>
      <w:lvlJc w:val="left"/>
      <w:pPr>
        <w:ind w:left="552" w:hanging="552"/>
      </w:pPr>
      <w:rPr>
        <w:rFonts w:hint="default"/>
        <w:b w:val="0"/>
      </w:rPr>
    </w:lvl>
    <w:lvl w:ilvl="1">
      <w:start w:val="747"/>
      <w:numFmt w:val="decimal"/>
      <w:lvlText w:val="%1.%2"/>
      <w:lvlJc w:val="left"/>
      <w:pPr>
        <w:ind w:left="1545" w:hanging="55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BE49C3"/>
    <w:multiLevelType w:val="hybridMultilevel"/>
    <w:tmpl w:val="13003B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F2F59"/>
    <w:multiLevelType w:val="hybridMultilevel"/>
    <w:tmpl w:val="96B4FA50"/>
    <w:lvl w:ilvl="0" w:tplc="36C0C4B2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652DDE"/>
    <w:multiLevelType w:val="hybridMultilevel"/>
    <w:tmpl w:val="96C48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A23D3"/>
    <w:multiLevelType w:val="hybridMultilevel"/>
    <w:tmpl w:val="FE7437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D6D55"/>
    <w:multiLevelType w:val="hybridMultilevel"/>
    <w:tmpl w:val="36D4E6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427BF"/>
    <w:multiLevelType w:val="hybridMultilevel"/>
    <w:tmpl w:val="2E5866A4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12"/>
  </w:num>
  <w:num w:numId="11">
    <w:abstractNumId w:val="16"/>
  </w:num>
  <w:num w:numId="12">
    <w:abstractNumId w:val="8"/>
  </w:num>
  <w:num w:numId="13">
    <w:abstractNumId w:val="0"/>
  </w:num>
  <w:num w:numId="14">
    <w:abstractNumId w:val="17"/>
  </w:num>
  <w:num w:numId="15">
    <w:abstractNumId w:val="14"/>
  </w:num>
  <w:num w:numId="16">
    <w:abstractNumId w:val="13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B8"/>
    <w:rsid w:val="00000DD5"/>
    <w:rsid w:val="00015C97"/>
    <w:rsid w:val="00024761"/>
    <w:rsid w:val="0006341F"/>
    <w:rsid w:val="00067B86"/>
    <w:rsid w:val="000705E1"/>
    <w:rsid w:val="00083061"/>
    <w:rsid w:val="000A68CB"/>
    <w:rsid w:val="000B39F3"/>
    <w:rsid w:val="000C3BF8"/>
    <w:rsid w:val="000D24CE"/>
    <w:rsid w:val="00106657"/>
    <w:rsid w:val="001365EC"/>
    <w:rsid w:val="00151E2E"/>
    <w:rsid w:val="00183FF6"/>
    <w:rsid w:val="00214B44"/>
    <w:rsid w:val="002405E7"/>
    <w:rsid w:val="00253013"/>
    <w:rsid w:val="00286DF0"/>
    <w:rsid w:val="00296576"/>
    <w:rsid w:val="002B5787"/>
    <w:rsid w:val="002C069A"/>
    <w:rsid w:val="002C601F"/>
    <w:rsid w:val="003339AC"/>
    <w:rsid w:val="00364C17"/>
    <w:rsid w:val="00370DAE"/>
    <w:rsid w:val="003A23E9"/>
    <w:rsid w:val="003B1236"/>
    <w:rsid w:val="00401DE0"/>
    <w:rsid w:val="0041089E"/>
    <w:rsid w:val="00411BC9"/>
    <w:rsid w:val="00417AF9"/>
    <w:rsid w:val="00430E6E"/>
    <w:rsid w:val="004343D2"/>
    <w:rsid w:val="00440617"/>
    <w:rsid w:val="00454DCD"/>
    <w:rsid w:val="004669AE"/>
    <w:rsid w:val="0049228A"/>
    <w:rsid w:val="004C05C4"/>
    <w:rsid w:val="004C12D4"/>
    <w:rsid w:val="005008B9"/>
    <w:rsid w:val="00532226"/>
    <w:rsid w:val="0053525D"/>
    <w:rsid w:val="00551D84"/>
    <w:rsid w:val="0055573C"/>
    <w:rsid w:val="00574F99"/>
    <w:rsid w:val="005865BC"/>
    <w:rsid w:val="005A6BAF"/>
    <w:rsid w:val="005B0A0D"/>
    <w:rsid w:val="005C0732"/>
    <w:rsid w:val="005C270E"/>
    <w:rsid w:val="005E353C"/>
    <w:rsid w:val="006165A9"/>
    <w:rsid w:val="00623271"/>
    <w:rsid w:val="00623D64"/>
    <w:rsid w:val="00627D00"/>
    <w:rsid w:val="006474B8"/>
    <w:rsid w:val="0064776C"/>
    <w:rsid w:val="006821C4"/>
    <w:rsid w:val="006827A7"/>
    <w:rsid w:val="00691CFA"/>
    <w:rsid w:val="006B6DA3"/>
    <w:rsid w:val="00704C29"/>
    <w:rsid w:val="0073139D"/>
    <w:rsid w:val="007502D3"/>
    <w:rsid w:val="0075777F"/>
    <w:rsid w:val="00760D39"/>
    <w:rsid w:val="007B21E9"/>
    <w:rsid w:val="007C2D68"/>
    <w:rsid w:val="007D1903"/>
    <w:rsid w:val="007E0461"/>
    <w:rsid w:val="007F2E83"/>
    <w:rsid w:val="007F75F7"/>
    <w:rsid w:val="00806FD0"/>
    <w:rsid w:val="00826407"/>
    <w:rsid w:val="00852D7D"/>
    <w:rsid w:val="0087058B"/>
    <w:rsid w:val="00871F2B"/>
    <w:rsid w:val="008857B5"/>
    <w:rsid w:val="008B56B5"/>
    <w:rsid w:val="008E1574"/>
    <w:rsid w:val="00900284"/>
    <w:rsid w:val="0090208D"/>
    <w:rsid w:val="00935E99"/>
    <w:rsid w:val="00953C41"/>
    <w:rsid w:val="0096236E"/>
    <w:rsid w:val="00965D17"/>
    <w:rsid w:val="00967580"/>
    <w:rsid w:val="00972A37"/>
    <w:rsid w:val="00974460"/>
    <w:rsid w:val="00987BE9"/>
    <w:rsid w:val="00993BDC"/>
    <w:rsid w:val="009A69B2"/>
    <w:rsid w:val="009F78BD"/>
    <w:rsid w:val="00A33EBC"/>
    <w:rsid w:val="00A4679E"/>
    <w:rsid w:val="00AA7025"/>
    <w:rsid w:val="00AE5068"/>
    <w:rsid w:val="00AF22DD"/>
    <w:rsid w:val="00B4289C"/>
    <w:rsid w:val="00B47623"/>
    <w:rsid w:val="00BA3435"/>
    <w:rsid w:val="00C33B2C"/>
    <w:rsid w:val="00C4312B"/>
    <w:rsid w:val="00C453EB"/>
    <w:rsid w:val="00C60614"/>
    <w:rsid w:val="00C66B78"/>
    <w:rsid w:val="00C74D49"/>
    <w:rsid w:val="00C96C0F"/>
    <w:rsid w:val="00CB121C"/>
    <w:rsid w:val="00CB47B6"/>
    <w:rsid w:val="00CC103F"/>
    <w:rsid w:val="00D026BF"/>
    <w:rsid w:val="00D04465"/>
    <w:rsid w:val="00D7435D"/>
    <w:rsid w:val="00DE25D2"/>
    <w:rsid w:val="00DE2F70"/>
    <w:rsid w:val="00E00A27"/>
    <w:rsid w:val="00E16A8C"/>
    <w:rsid w:val="00E30596"/>
    <w:rsid w:val="00E53B1E"/>
    <w:rsid w:val="00E70458"/>
    <w:rsid w:val="00E84A3F"/>
    <w:rsid w:val="00EC0BCD"/>
    <w:rsid w:val="00ED1082"/>
    <w:rsid w:val="00EE4016"/>
    <w:rsid w:val="00EF0B34"/>
    <w:rsid w:val="00F001E5"/>
    <w:rsid w:val="00F11496"/>
    <w:rsid w:val="00F17B84"/>
    <w:rsid w:val="00F27449"/>
    <w:rsid w:val="00F37D8F"/>
    <w:rsid w:val="00F4183B"/>
    <w:rsid w:val="00F95AE5"/>
    <w:rsid w:val="00FA5BF1"/>
    <w:rsid w:val="00FA5D2B"/>
    <w:rsid w:val="00FB74AD"/>
    <w:rsid w:val="00FC17B6"/>
    <w:rsid w:val="00FC27B0"/>
    <w:rsid w:val="00FE5C67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474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32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474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36"/>
      <w:szCs w:val="20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474B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6474B8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i/>
      <w:noProof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74B8"/>
    <w:rPr>
      <w:rFonts w:ascii="Times New Roman" w:eastAsia="Times New Roman" w:hAnsi="Times New Roman" w:cs="Times New Roman"/>
      <w:b/>
      <w:noProof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6474B8"/>
    <w:rPr>
      <w:rFonts w:ascii="Times New Roman" w:eastAsia="Times New Roman" w:hAnsi="Times New Roman" w:cs="Times New Roman"/>
      <w:b/>
      <w:noProof/>
      <w:sz w:val="36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474B8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6474B8"/>
    <w:rPr>
      <w:rFonts w:ascii="Verdana" w:eastAsia="Times New Roman" w:hAnsi="Verdana" w:cs="Times New Roman"/>
      <w:b/>
      <w:i/>
      <w:noProof/>
      <w:sz w:val="28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474B8"/>
  </w:style>
  <w:style w:type="paragraph" w:styleId="Zaglavlje">
    <w:name w:val="header"/>
    <w:basedOn w:val="Normal"/>
    <w:link w:val="ZaglavljeChar"/>
    <w:semiHidden/>
    <w:rsid w:val="00647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6474B8"/>
    <w:rPr>
      <w:rFonts w:ascii="Times New Roman" w:eastAsia="Times New Roman" w:hAnsi="Times New Roman" w:cs="Times New Roman"/>
      <w:noProof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647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474B8"/>
    <w:rPr>
      <w:rFonts w:ascii="Times New Roman" w:eastAsia="Times New Roman" w:hAnsi="Times New Roman" w:cs="Times New Roman"/>
      <w:noProof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474B8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Cs w:val="20"/>
      <w:lang w:eastAsia="hr-HR"/>
    </w:rPr>
  </w:style>
  <w:style w:type="table" w:customStyle="1" w:styleId="GridTable4Accent6">
    <w:name w:val="Grid Table 4 Accent 6"/>
    <w:basedOn w:val="Obinatablica"/>
    <w:uiPriority w:val="49"/>
    <w:rsid w:val="006474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lainTable1">
    <w:name w:val="Plain Table 1"/>
    <w:basedOn w:val="Obinatablica"/>
    <w:uiPriority w:val="41"/>
    <w:rsid w:val="006474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Obinatablica"/>
    <w:uiPriority w:val="44"/>
    <w:rsid w:val="006474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474B8"/>
    <w:pPr>
      <w:spacing w:after="0" w:line="240" w:lineRule="auto"/>
    </w:pPr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B8"/>
    <w:rPr>
      <w:rFonts w:ascii="Segoe UI" w:eastAsia="Times New Roman" w:hAnsi="Segoe UI" w:cs="Segoe UI"/>
      <w:noProof/>
      <w:sz w:val="18"/>
      <w:szCs w:val="18"/>
      <w:lang w:eastAsia="hr-HR"/>
    </w:rPr>
  </w:style>
  <w:style w:type="table" w:customStyle="1" w:styleId="GridTable1LightAccent6">
    <w:name w:val="Grid Table 1 Light Accent 6"/>
    <w:basedOn w:val="Obinatablica"/>
    <w:uiPriority w:val="46"/>
    <w:rsid w:val="00AE506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84A3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noProof w:val="0"/>
      <w:color w:val="2E74B5" w:themeColor="accent1" w:themeShade="BF"/>
      <w:sz w:val="28"/>
      <w:szCs w:val="28"/>
    </w:rPr>
  </w:style>
  <w:style w:type="table" w:customStyle="1" w:styleId="Svijetlipopis-Isticanje31">
    <w:name w:val="Svijetli popis - Isticanje 31"/>
    <w:basedOn w:val="Obinatablica"/>
    <w:next w:val="Svijetlipopis-Isticanje3"/>
    <w:uiPriority w:val="61"/>
    <w:rsid w:val="00E7045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ijetlipopis-Isticanje3">
    <w:name w:val="Light List Accent 3"/>
    <w:basedOn w:val="Obinatablica"/>
    <w:uiPriority w:val="61"/>
    <w:rsid w:val="00E7045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rednjareetka3-Isticanje6">
    <w:name w:val="Medium Grid 3 Accent 6"/>
    <w:basedOn w:val="Obinatablica"/>
    <w:uiPriority w:val="69"/>
    <w:rsid w:val="00A33E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esjenanje2-Isticanje6">
    <w:name w:val="Medium Shading 2 Accent 6"/>
    <w:basedOn w:val="Obinatablica"/>
    <w:uiPriority w:val="64"/>
    <w:rsid w:val="00A33E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reetka2-Isticanje6">
    <w:name w:val="Medium Grid 2 Accent 6"/>
    <w:basedOn w:val="Obinatablica"/>
    <w:uiPriority w:val="68"/>
    <w:rsid w:val="00FB74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474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32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474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36"/>
      <w:szCs w:val="20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474B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6474B8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i/>
      <w:noProof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74B8"/>
    <w:rPr>
      <w:rFonts w:ascii="Times New Roman" w:eastAsia="Times New Roman" w:hAnsi="Times New Roman" w:cs="Times New Roman"/>
      <w:b/>
      <w:noProof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6474B8"/>
    <w:rPr>
      <w:rFonts w:ascii="Times New Roman" w:eastAsia="Times New Roman" w:hAnsi="Times New Roman" w:cs="Times New Roman"/>
      <w:b/>
      <w:noProof/>
      <w:sz w:val="36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474B8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6474B8"/>
    <w:rPr>
      <w:rFonts w:ascii="Verdana" w:eastAsia="Times New Roman" w:hAnsi="Verdana" w:cs="Times New Roman"/>
      <w:b/>
      <w:i/>
      <w:noProof/>
      <w:sz w:val="28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474B8"/>
  </w:style>
  <w:style w:type="paragraph" w:styleId="Zaglavlje">
    <w:name w:val="header"/>
    <w:basedOn w:val="Normal"/>
    <w:link w:val="ZaglavljeChar"/>
    <w:semiHidden/>
    <w:rsid w:val="00647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6474B8"/>
    <w:rPr>
      <w:rFonts w:ascii="Times New Roman" w:eastAsia="Times New Roman" w:hAnsi="Times New Roman" w:cs="Times New Roman"/>
      <w:noProof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647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474B8"/>
    <w:rPr>
      <w:rFonts w:ascii="Times New Roman" w:eastAsia="Times New Roman" w:hAnsi="Times New Roman" w:cs="Times New Roman"/>
      <w:noProof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474B8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Cs w:val="20"/>
      <w:lang w:eastAsia="hr-HR"/>
    </w:rPr>
  </w:style>
  <w:style w:type="table" w:customStyle="1" w:styleId="GridTable4Accent6">
    <w:name w:val="Grid Table 4 Accent 6"/>
    <w:basedOn w:val="Obinatablica"/>
    <w:uiPriority w:val="49"/>
    <w:rsid w:val="006474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lainTable1">
    <w:name w:val="Plain Table 1"/>
    <w:basedOn w:val="Obinatablica"/>
    <w:uiPriority w:val="41"/>
    <w:rsid w:val="006474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Obinatablica"/>
    <w:uiPriority w:val="44"/>
    <w:rsid w:val="006474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474B8"/>
    <w:pPr>
      <w:spacing w:after="0" w:line="240" w:lineRule="auto"/>
    </w:pPr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B8"/>
    <w:rPr>
      <w:rFonts w:ascii="Segoe UI" w:eastAsia="Times New Roman" w:hAnsi="Segoe UI" w:cs="Segoe UI"/>
      <w:noProof/>
      <w:sz w:val="18"/>
      <w:szCs w:val="18"/>
      <w:lang w:eastAsia="hr-HR"/>
    </w:rPr>
  </w:style>
  <w:style w:type="table" w:customStyle="1" w:styleId="GridTable1LightAccent6">
    <w:name w:val="Grid Table 1 Light Accent 6"/>
    <w:basedOn w:val="Obinatablica"/>
    <w:uiPriority w:val="46"/>
    <w:rsid w:val="00AE506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84A3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noProof w:val="0"/>
      <w:color w:val="2E74B5" w:themeColor="accent1" w:themeShade="BF"/>
      <w:sz w:val="28"/>
      <w:szCs w:val="28"/>
    </w:rPr>
  </w:style>
  <w:style w:type="table" w:customStyle="1" w:styleId="Svijetlipopis-Isticanje31">
    <w:name w:val="Svijetli popis - Isticanje 31"/>
    <w:basedOn w:val="Obinatablica"/>
    <w:next w:val="Svijetlipopis-Isticanje3"/>
    <w:uiPriority w:val="61"/>
    <w:rsid w:val="00E7045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ijetlipopis-Isticanje3">
    <w:name w:val="Light List Accent 3"/>
    <w:basedOn w:val="Obinatablica"/>
    <w:uiPriority w:val="61"/>
    <w:rsid w:val="00E7045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rednjareetka3-Isticanje6">
    <w:name w:val="Medium Grid 3 Accent 6"/>
    <w:basedOn w:val="Obinatablica"/>
    <w:uiPriority w:val="69"/>
    <w:rsid w:val="00A33E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esjenanje2-Isticanje6">
    <w:name w:val="Medium Shading 2 Accent 6"/>
    <w:basedOn w:val="Obinatablica"/>
    <w:uiPriority w:val="64"/>
    <w:rsid w:val="00A33E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reetka2-Isticanje6">
    <w:name w:val="Medium Grid 2 Accent 6"/>
    <w:basedOn w:val="Obinatablica"/>
    <w:uiPriority w:val="68"/>
    <w:rsid w:val="00FB74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E813E-D9BF-48C5-85DF-F63A8B3E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6640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Šindija</dc:creator>
  <cp:lastModifiedBy>Roža Poznanović</cp:lastModifiedBy>
  <cp:revision>12</cp:revision>
  <cp:lastPrinted>2020-01-31T23:44:00Z</cp:lastPrinted>
  <dcterms:created xsi:type="dcterms:W3CDTF">2020-02-01T20:53:00Z</dcterms:created>
  <dcterms:modified xsi:type="dcterms:W3CDTF">2020-02-02T03:17:00Z</dcterms:modified>
</cp:coreProperties>
</file>