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7A" w:rsidRPr="00C03828" w:rsidRDefault="00CA777A" w:rsidP="00DE42F1">
      <w:pPr>
        <w:jc w:val="center"/>
        <w:rPr>
          <w:b/>
          <w:noProof/>
          <w:sz w:val="28"/>
          <w:szCs w:val="28"/>
          <w:lang w:eastAsia="hr-HR"/>
        </w:rPr>
      </w:pPr>
      <w:r w:rsidRPr="00C03828">
        <w:rPr>
          <w:b/>
          <w:noProof/>
          <w:sz w:val="28"/>
          <w:szCs w:val="28"/>
          <w:lang w:eastAsia="hr-HR"/>
        </w:rPr>
        <w:t>OBRAZLOŽENJE OPĆEG DIJELA GODIŠNJEG IZVJEŠTAJA O IZVRŠENJU FIN</w:t>
      </w:r>
      <w:r w:rsidR="00D63950">
        <w:rPr>
          <w:b/>
          <w:noProof/>
          <w:sz w:val="28"/>
          <w:szCs w:val="28"/>
          <w:lang w:eastAsia="hr-HR"/>
        </w:rPr>
        <w:t xml:space="preserve">ANCIJSKOG PLANA JAVNE USTANOVE </w:t>
      </w:r>
      <w:r w:rsidRPr="00C03828">
        <w:rPr>
          <w:b/>
          <w:noProof/>
          <w:sz w:val="28"/>
          <w:szCs w:val="28"/>
          <w:lang w:eastAsia="hr-HR"/>
        </w:rPr>
        <w:t>NACIONALNI PARK PLITVIČKA JEZERA ZA 202</w:t>
      </w:r>
      <w:r w:rsidR="00FF0169">
        <w:rPr>
          <w:b/>
          <w:noProof/>
          <w:sz w:val="28"/>
          <w:szCs w:val="28"/>
          <w:lang w:eastAsia="hr-HR"/>
        </w:rPr>
        <w:t>4</w:t>
      </w:r>
      <w:r w:rsidRPr="00C03828">
        <w:rPr>
          <w:b/>
          <w:noProof/>
          <w:sz w:val="28"/>
          <w:szCs w:val="28"/>
          <w:lang w:eastAsia="hr-HR"/>
        </w:rPr>
        <w:t>. GODINU</w:t>
      </w:r>
    </w:p>
    <w:p w:rsidR="002D00FE" w:rsidRPr="00C03828" w:rsidRDefault="002D00FE" w:rsidP="002D00FE">
      <w:pPr>
        <w:rPr>
          <w:noProof/>
          <w:sz w:val="24"/>
          <w:szCs w:val="24"/>
          <w:lang w:eastAsia="hr-HR"/>
        </w:rPr>
      </w:pPr>
    </w:p>
    <w:p w:rsidR="005A4613" w:rsidRPr="00C03828" w:rsidRDefault="005A4613" w:rsidP="002D00FE">
      <w:pPr>
        <w:rPr>
          <w:b/>
          <w:noProof/>
          <w:sz w:val="24"/>
          <w:szCs w:val="24"/>
          <w:lang w:eastAsia="hr-HR"/>
        </w:rPr>
      </w:pPr>
      <w:r w:rsidRPr="00C03828">
        <w:rPr>
          <w:b/>
          <w:noProof/>
          <w:sz w:val="24"/>
          <w:szCs w:val="24"/>
          <w:lang w:eastAsia="hr-HR"/>
        </w:rPr>
        <w:t>PRIHODI</w:t>
      </w:r>
    </w:p>
    <w:p w:rsidR="00603EB2" w:rsidRPr="00C03828" w:rsidRDefault="00603EB2" w:rsidP="002D00FE">
      <w:pPr>
        <w:rPr>
          <w:i/>
          <w:noProof/>
          <w:sz w:val="24"/>
          <w:szCs w:val="24"/>
          <w:lang w:eastAsia="hr-HR"/>
        </w:rPr>
      </w:pPr>
    </w:p>
    <w:p w:rsidR="002D00FE" w:rsidRDefault="002F143E" w:rsidP="002D00FE">
      <w:pPr>
        <w:rPr>
          <w:i/>
          <w:noProof/>
          <w:sz w:val="24"/>
          <w:szCs w:val="24"/>
          <w:lang w:eastAsia="hr-HR"/>
        </w:rPr>
      </w:pPr>
      <w:r w:rsidRPr="00C03828">
        <w:rPr>
          <w:i/>
          <w:noProof/>
          <w:sz w:val="24"/>
          <w:szCs w:val="24"/>
          <w:lang w:eastAsia="hr-HR"/>
        </w:rPr>
        <w:t xml:space="preserve">Tablica 1. </w:t>
      </w:r>
      <w:r w:rsidR="002D00FE" w:rsidRPr="00C03828">
        <w:rPr>
          <w:i/>
          <w:noProof/>
          <w:sz w:val="24"/>
          <w:szCs w:val="24"/>
          <w:lang w:eastAsia="hr-HR"/>
        </w:rPr>
        <w:t>Prihodi prema ekonomskoj klasifikaciji</w:t>
      </w:r>
    </w:p>
    <w:tbl>
      <w:tblPr>
        <w:tblW w:w="9851" w:type="dxa"/>
        <w:jc w:val="center"/>
        <w:tblLook w:val="04A0" w:firstRow="1" w:lastRow="0" w:firstColumn="1" w:lastColumn="0" w:noHBand="0" w:noVBand="1"/>
      </w:tblPr>
      <w:tblGrid>
        <w:gridCol w:w="3840"/>
        <w:gridCol w:w="1371"/>
        <w:gridCol w:w="1367"/>
        <w:gridCol w:w="1371"/>
        <w:gridCol w:w="951"/>
        <w:gridCol w:w="951"/>
      </w:tblGrid>
      <w:tr w:rsidR="00D14222" w:rsidRPr="00D14222" w:rsidTr="008E2142">
        <w:trPr>
          <w:trHeight w:val="900"/>
          <w:jc w:val="center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BROJ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Č</w:t>
            </w: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ANA OZNAKA I NAZIV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OSTVARENJE 2023.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PLAN 2024.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OSTVARENJE 2024.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INDEKS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INDEKS</w:t>
            </w:r>
          </w:p>
        </w:tc>
      </w:tr>
      <w:tr w:rsidR="00D14222" w:rsidRPr="00D14222" w:rsidTr="008E2142">
        <w:trPr>
          <w:trHeight w:val="240"/>
          <w:jc w:val="center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5=4/2*100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6=4/3*100</w:t>
            </w:r>
          </w:p>
        </w:tc>
      </w:tr>
      <w:tr w:rsidR="00D14222" w:rsidRPr="00D14222" w:rsidTr="008E2142">
        <w:trPr>
          <w:trHeight w:val="300"/>
          <w:jc w:val="center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sz w:val="16"/>
                <w:szCs w:val="16"/>
                <w:lang w:val="hr-HR" w:eastAsia="hr-HR"/>
              </w:rPr>
              <w:t>UKUPNO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sz w:val="16"/>
                <w:szCs w:val="16"/>
                <w:lang w:val="hr-HR" w:eastAsia="hr-HR"/>
              </w:rPr>
              <w:t>57.804.261,71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sz w:val="16"/>
                <w:szCs w:val="16"/>
                <w:lang w:val="hr-HR" w:eastAsia="hr-HR"/>
              </w:rPr>
              <w:t>57.849.988,00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sz w:val="16"/>
                <w:szCs w:val="16"/>
                <w:lang w:val="hr-HR" w:eastAsia="hr-HR"/>
              </w:rPr>
              <w:t>59.100.235,54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sz w:val="16"/>
                <w:szCs w:val="16"/>
                <w:lang w:val="hr-HR" w:eastAsia="hr-HR"/>
              </w:rPr>
              <w:t>102,24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sz w:val="16"/>
                <w:szCs w:val="16"/>
                <w:lang w:val="hr-HR" w:eastAsia="hr-HR"/>
              </w:rPr>
              <w:t>102,16</w:t>
            </w:r>
          </w:p>
        </w:tc>
      </w:tr>
      <w:tr w:rsidR="00D14222" w:rsidRPr="00D14222" w:rsidTr="008E2142">
        <w:trPr>
          <w:trHeight w:val="300"/>
          <w:jc w:val="center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6 Prihodi poslovanja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57.804.261,71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sz w:val="16"/>
                <w:szCs w:val="16"/>
                <w:lang w:val="hr-HR" w:eastAsia="hr-HR"/>
              </w:rPr>
              <w:t>57.849.988,00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59.100.235,54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102,24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102,16</w:t>
            </w:r>
          </w:p>
        </w:tc>
      </w:tr>
      <w:tr w:rsidR="00D14222" w:rsidRPr="00D14222" w:rsidTr="008E2142">
        <w:trPr>
          <w:trHeight w:val="600"/>
          <w:jc w:val="center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81119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63 Pomoći iz inozemstva i od subjekata unutar općeg proračuna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125.923,69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D14222" w:rsidRPr="00D14222" w:rsidTr="008E2142">
        <w:trPr>
          <w:trHeight w:val="300"/>
          <w:jc w:val="center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64 Prihodi od imovine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6.473,72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sz w:val="16"/>
                <w:szCs w:val="16"/>
                <w:lang w:val="hr-HR" w:eastAsia="hr-HR"/>
              </w:rPr>
              <w:t>16.400,00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16.358,67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252,69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99,75</w:t>
            </w:r>
          </w:p>
        </w:tc>
      </w:tr>
      <w:tr w:rsidR="00D14222" w:rsidRPr="00D14222" w:rsidTr="008E2142">
        <w:trPr>
          <w:trHeight w:val="600"/>
          <w:jc w:val="center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 xml:space="preserve">65 Prihodi od upravnih i </w:t>
            </w:r>
            <w:proofErr w:type="spellStart"/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admin</w:t>
            </w:r>
            <w:proofErr w:type="spellEnd"/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 xml:space="preserve">. pristojbi, pristojbi po </w:t>
            </w:r>
            <w:proofErr w:type="spellStart"/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pos</w:t>
            </w:r>
            <w:proofErr w:type="spellEnd"/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. propisima i naknada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32.359.937,53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sz w:val="16"/>
                <w:szCs w:val="16"/>
                <w:lang w:val="hr-HR" w:eastAsia="hr-HR"/>
              </w:rPr>
              <w:t>33.802.400,00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32.442.268,08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100,25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95,98</w:t>
            </w:r>
          </w:p>
        </w:tc>
      </w:tr>
      <w:tr w:rsidR="00D14222" w:rsidRPr="00D14222" w:rsidTr="008E2142">
        <w:trPr>
          <w:trHeight w:val="900"/>
          <w:jc w:val="center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25.167.306,32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sz w:val="16"/>
                <w:szCs w:val="16"/>
                <w:lang w:val="hr-HR" w:eastAsia="hr-HR"/>
              </w:rPr>
              <w:t>23.929.188,00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26.469.387,77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105,17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110,62</w:t>
            </w:r>
          </w:p>
        </w:tc>
      </w:tr>
      <w:tr w:rsidR="00D14222" w:rsidRPr="00D14222" w:rsidTr="008E2142">
        <w:trPr>
          <w:trHeight w:val="300"/>
          <w:jc w:val="center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68 Kazne, upravne mjere i ostali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144.620,45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sz w:val="16"/>
                <w:szCs w:val="16"/>
                <w:lang w:val="hr-HR" w:eastAsia="hr-HR"/>
              </w:rPr>
              <w:t>102.000,00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172.221,02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119,08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22" w:rsidRPr="00D14222" w:rsidRDefault="00D14222" w:rsidP="00D14222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D1422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168,84</w:t>
            </w:r>
          </w:p>
        </w:tc>
      </w:tr>
    </w:tbl>
    <w:p w:rsidR="00D14222" w:rsidRDefault="00D14222" w:rsidP="002D00FE">
      <w:pPr>
        <w:rPr>
          <w:noProof/>
          <w:sz w:val="24"/>
          <w:szCs w:val="24"/>
          <w:lang w:eastAsia="hr-HR"/>
        </w:rPr>
      </w:pPr>
    </w:p>
    <w:p w:rsidR="002A224E" w:rsidRPr="00834B32" w:rsidRDefault="002A224E" w:rsidP="002D00FE">
      <w:pPr>
        <w:rPr>
          <w:noProof/>
          <w:sz w:val="24"/>
          <w:szCs w:val="24"/>
          <w:lang w:eastAsia="hr-HR"/>
        </w:rPr>
      </w:pPr>
      <w:r w:rsidRPr="00834B32">
        <w:rPr>
          <w:noProof/>
          <w:sz w:val="24"/>
          <w:szCs w:val="24"/>
          <w:lang w:eastAsia="hr-HR"/>
        </w:rPr>
        <w:t>Ukupni prihodi za 202</w:t>
      </w:r>
      <w:r w:rsidR="008674FA">
        <w:rPr>
          <w:noProof/>
          <w:sz w:val="24"/>
          <w:szCs w:val="24"/>
          <w:lang w:eastAsia="hr-HR"/>
        </w:rPr>
        <w:t>4</w:t>
      </w:r>
      <w:r w:rsidRPr="00834B32">
        <w:rPr>
          <w:noProof/>
          <w:sz w:val="24"/>
          <w:szCs w:val="24"/>
          <w:lang w:eastAsia="hr-HR"/>
        </w:rPr>
        <w:t xml:space="preserve">. godinu planirani su u iznosu od </w:t>
      </w:r>
      <w:r w:rsidR="00834B32" w:rsidRPr="00834B32">
        <w:rPr>
          <w:noProof/>
          <w:sz w:val="24"/>
          <w:szCs w:val="24"/>
          <w:lang w:eastAsia="hr-HR"/>
        </w:rPr>
        <w:t>5</w:t>
      </w:r>
      <w:r w:rsidR="008674FA">
        <w:rPr>
          <w:noProof/>
          <w:sz w:val="24"/>
          <w:szCs w:val="24"/>
          <w:lang w:eastAsia="hr-HR"/>
        </w:rPr>
        <w:t>7,9</w:t>
      </w:r>
      <w:r w:rsidRPr="00834B32">
        <w:rPr>
          <w:noProof/>
          <w:sz w:val="24"/>
          <w:szCs w:val="24"/>
          <w:lang w:eastAsia="hr-HR"/>
        </w:rPr>
        <w:t xml:space="preserve"> milijun</w:t>
      </w:r>
      <w:r w:rsidR="00834B32" w:rsidRPr="00834B32">
        <w:rPr>
          <w:noProof/>
          <w:sz w:val="24"/>
          <w:szCs w:val="24"/>
          <w:lang w:eastAsia="hr-HR"/>
        </w:rPr>
        <w:t>a</w:t>
      </w:r>
      <w:r w:rsidRPr="00834B32">
        <w:rPr>
          <w:noProof/>
          <w:sz w:val="24"/>
          <w:szCs w:val="24"/>
          <w:lang w:eastAsia="hr-HR"/>
        </w:rPr>
        <w:t xml:space="preserve"> eura što ujedno predstavlja i iznos planiranih prihoda poslovanja, jer prihodi od prodaje nefinancijske imovine nisu planirani.</w:t>
      </w:r>
    </w:p>
    <w:p w:rsidR="00603EB2" w:rsidRPr="00D610D6" w:rsidRDefault="00CA777A" w:rsidP="002D00FE">
      <w:pPr>
        <w:rPr>
          <w:noProof/>
          <w:sz w:val="24"/>
          <w:szCs w:val="24"/>
          <w:lang w:eastAsia="hr-HR"/>
        </w:rPr>
      </w:pPr>
      <w:r w:rsidRPr="00834B32">
        <w:rPr>
          <w:noProof/>
          <w:sz w:val="24"/>
          <w:szCs w:val="24"/>
          <w:lang w:eastAsia="hr-HR"/>
        </w:rPr>
        <w:t xml:space="preserve">Prihodi poslovanja u </w:t>
      </w:r>
      <w:r w:rsidR="001A6C73" w:rsidRPr="00834B32">
        <w:rPr>
          <w:noProof/>
          <w:sz w:val="24"/>
          <w:szCs w:val="24"/>
          <w:lang w:eastAsia="hr-HR"/>
        </w:rPr>
        <w:t>202</w:t>
      </w:r>
      <w:r w:rsidR="008674FA">
        <w:rPr>
          <w:noProof/>
          <w:sz w:val="24"/>
          <w:szCs w:val="24"/>
          <w:lang w:eastAsia="hr-HR"/>
        </w:rPr>
        <w:t>4</w:t>
      </w:r>
      <w:r w:rsidRPr="00834B32">
        <w:rPr>
          <w:noProof/>
          <w:sz w:val="24"/>
          <w:szCs w:val="24"/>
          <w:lang w:eastAsia="hr-HR"/>
        </w:rPr>
        <w:t>. godin</w:t>
      </w:r>
      <w:r w:rsidR="00834B32" w:rsidRPr="00834B32">
        <w:rPr>
          <w:noProof/>
          <w:sz w:val="24"/>
          <w:szCs w:val="24"/>
          <w:lang w:eastAsia="hr-HR"/>
        </w:rPr>
        <w:t>i</w:t>
      </w:r>
      <w:r w:rsidRPr="00834B32">
        <w:rPr>
          <w:noProof/>
          <w:sz w:val="24"/>
          <w:szCs w:val="24"/>
          <w:lang w:eastAsia="hr-HR"/>
        </w:rPr>
        <w:t xml:space="preserve"> ostvareni su u iznosu od </w:t>
      </w:r>
      <w:r w:rsidR="008674FA">
        <w:rPr>
          <w:noProof/>
          <w:sz w:val="24"/>
          <w:szCs w:val="24"/>
          <w:lang w:eastAsia="hr-HR"/>
        </w:rPr>
        <w:t>59,1</w:t>
      </w:r>
      <w:r w:rsidRPr="00834B32">
        <w:rPr>
          <w:noProof/>
          <w:sz w:val="24"/>
          <w:szCs w:val="24"/>
          <w:lang w:eastAsia="hr-HR"/>
        </w:rPr>
        <w:t xml:space="preserve"> mil</w:t>
      </w:r>
      <w:r w:rsidR="00EF6AE1" w:rsidRPr="00834B32">
        <w:rPr>
          <w:noProof/>
          <w:sz w:val="24"/>
          <w:szCs w:val="24"/>
          <w:lang w:eastAsia="hr-HR"/>
        </w:rPr>
        <w:t>ijun</w:t>
      </w:r>
      <w:r w:rsidRPr="00834B32">
        <w:rPr>
          <w:noProof/>
          <w:sz w:val="24"/>
          <w:szCs w:val="24"/>
          <w:lang w:eastAsia="hr-HR"/>
        </w:rPr>
        <w:t xml:space="preserve"> </w:t>
      </w:r>
      <w:r w:rsidR="00B20558" w:rsidRPr="00834B32">
        <w:rPr>
          <w:noProof/>
          <w:sz w:val="24"/>
          <w:szCs w:val="24"/>
          <w:lang w:eastAsia="hr-HR"/>
        </w:rPr>
        <w:t>eura</w:t>
      </w:r>
      <w:r w:rsidR="005E662E">
        <w:rPr>
          <w:noProof/>
          <w:sz w:val="24"/>
          <w:szCs w:val="24"/>
          <w:lang w:eastAsia="hr-HR"/>
        </w:rPr>
        <w:t xml:space="preserve"> </w:t>
      </w:r>
      <w:r w:rsidR="001A6C73" w:rsidRPr="00834B32">
        <w:rPr>
          <w:noProof/>
          <w:sz w:val="24"/>
          <w:szCs w:val="24"/>
          <w:lang w:eastAsia="hr-HR"/>
        </w:rPr>
        <w:t xml:space="preserve">i </w:t>
      </w:r>
      <w:r w:rsidR="00834B32" w:rsidRPr="00834B32">
        <w:rPr>
          <w:noProof/>
          <w:sz w:val="24"/>
          <w:szCs w:val="24"/>
          <w:lang w:eastAsia="hr-HR"/>
        </w:rPr>
        <w:t xml:space="preserve">veći su za </w:t>
      </w:r>
      <w:r w:rsidR="008674FA">
        <w:rPr>
          <w:noProof/>
          <w:sz w:val="24"/>
          <w:szCs w:val="24"/>
          <w:lang w:eastAsia="hr-HR"/>
        </w:rPr>
        <w:t>2,2</w:t>
      </w:r>
      <w:r w:rsidR="00834B32" w:rsidRPr="00834B32">
        <w:rPr>
          <w:noProof/>
          <w:sz w:val="24"/>
          <w:szCs w:val="24"/>
          <w:lang w:eastAsia="hr-HR"/>
        </w:rPr>
        <w:t>% u odnosu na plan.</w:t>
      </w:r>
      <w:r w:rsidR="001A6C73" w:rsidRPr="00834B32">
        <w:rPr>
          <w:noProof/>
          <w:sz w:val="24"/>
          <w:szCs w:val="24"/>
          <w:lang w:eastAsia="hr-HR"/>
        </w:rPr>
        <w:t xml:space="preserve"> </w:t>
      </w:r>
      <w:r w:rsidRPr="00834B32">
        <w:rPr>
          <w:noProof/>
          <w:sz w:val="24"/>
          <w:szCs w:val="24"/>
          <w:lang w:eastAsia="hr-HR"/>
        </w:rPr>
        <w:t>Njiho</w:t>
      </w:r>
      <w:r w:rsidR="00D03282" w:rsidRPr="00834B32">
        <w:rPr>
          <w:noProof/>
          <w:sz w:val="24"/>
          <w:szCs w:val="24"/>
          <w:lang w:eastAsia="hr-HR"/>
        </w:rPr>
        <w:t xml:space="preserve">va najznačajnija kategorija </w:t>
      </w:r>
      <w:r w:rsidR="00343708" w:rsidRPr="00834B32">
        <w:rPr>
          <w:noProof/>
          <w:sz w:val="24"/>
          <w:szCs w:val="24"/>
          <w:lang w:eastAsia="hr-HR"/>
        </w:rPr>
        <w:t xml:space="preserve">s udjelom od </w:t>
      </w:r>
      <w:r w:rsidR="00834B32" w:rsidRPr="00834B32">
        <w:rPr>
          <w:noProof/>
          <w:sz w:val="24"/>
          <w:szCs w:val="24"/>
          <w:lang w:eastAsia="hr-HR"/>
        </w:rPr>
        <w:t>5</w:t>
      </w:r>
      <w:r w:rsidR="008674FA">
        <w:rPr>
          <w:noProof/>
          <w:sz w:val="24"/>
          <w:szCs w:val="24"/>
          <w:lang w:eastAsia="hr-HR"/>
        </w:rPr>
        <w:t>4,9</w:t>
      </w:r>
      <w:r w:rsidR="00343708" w:rsidRPr="00834B32">
        <w:rPr>
          <w:noProof/>
          <w:sz w:val="24"/>
          <w:szCs w:val="24"/>
          <w:lang w:eastAsia="hr-HR"/>
        </w:rPr>
        <w:t xml:space="preserve">% </w:t>
      </w:r>
      <w:r w:rsidR="00D03282" w:rsidRPr="00834B32">
        <w:rPr>
          <w:noProof/>
          <w:sz w:val="24"/>
          <w:szCs w:val="24"/>
          <w:lang w:eastAsia="hr-HR"/>
        </w:rPr>
        <w:t>su p</w:t>
      </w:r>
      <w:r w:rsidR="007819E7" w:rsidRPr="00834B32">
        <w:rPr>
          <w:noProof/>
          <w:sz w:val="24"/>
          <w:szCs w:val="24"/>
          <w:lang w:eastAsia="hr-HR"/>
        </w:rPr>
        <w:t>rihodi po posebnim</w:t>
      </w:r>
      <w:r w:rsidRPr="00834B32">
        <w:rPr>
          <w:noProof/>
          <w:sz w:val="24"/>
          <w:szCs w:val="24"/>
          <w:lang w:eastAsia="hr-HR"/>
        </w:rPr>
        <w:t xml:space="preserve"> propisima </w:t>
      </w:r>
      <w:r w:rsidR="00343708" w:rsidRPr="00834B32">
        <w:rPr>
          <w:noProof/>
          <w:sz w:val="24"/>
          <w:szCs w:val="24"/>
          <w:lang w:eastAsia="hr-HR"/>
        </w:rPr>
        <w:t xml:space="preserve">u iznosu od </w:t>
      </w:r>
      <w:r w:rsidR="00834B32" w:rsidRPr="00834B32">
        <w:rPr>
          <w:noProof/>
          <w:sz w:val="24"/>
          <w:szCs w:val="24"/>
          <w:lang w:eastAsia="hr-HR"/>
        </w:rPr>
        <w:t>32,4</w:t>
      </w:r>
      <w:r w:rsidR="00343708" w:rsidRPr="00834B32">
        <w:rPr>
          <w:noProof/>
          <w:sz w:val="24"/>
          <w:szCs w:val="24"/>
          <w:lang w:eastAsia="hr-HR"/>
        </w:rPr>
        <w:t xml:space="preserve"> milijuna </w:t>
      </w:r>
      <w:r w:rsidR="00620AA0" w:rsidRPr="00834B32">
        <w:rPr>
          <w:noProof/>
          <w:sz w:val="24"/>
          <w:szCs w:val="24"/>
          <w:lang w:eastAsia="hr-HR"/>
        </w:rPr>
        <w:t>eura</w:t>
      </w:r>
      <w:r w:rsidR="00343708" w:rsidRPr="00834B32">
        <w:rPr>
          <w:noProof/>
          <w:sz w:val="24"/>
          <w:szCs w:val="24"/>
          <w:lang w:eastAsia="hr-HR"/>
        </w:rPr>
        <w:t xml:space="preserve"> </w:t>
      </w:r>
      <w:r w:rsidR="006D258E" w:rsidRPr="00834B32">
        <w:rPr>
          <w:noProof/>
          <w:sz w:val="24"/>
          <w:szCs w:val="24"/>
          <w:lang w:eastAsia="hr-HR"/>
        </w:rPr>
        <w:t>koji se odnose na prihode od ulaznica</w:t>
      </w:r>
      <w:r w:rsidR="00343708" w:rsidRPr="00834B32">
        <w:rPr>
          <w:noProof/>
          <w:sz w:val="24"/>
          <w:szCs w:val="24"/>
          <w:lang w:eastAsia="hr-HR"/>
        </w:rPr>
        <w:t xml:space="preserve">, </w:t>
      </w:r>
      <w:r w:rsidR="00D03282" w:rsidRPr="00834B32">
        <w:rPr>
          <w:noProof/>
          <w:sz w:val="24"/>
          <w:szCs w:val="24"/>
          <w:lang w:eastAsia="hr-HR"/>
        </w:rPr>
        <w:t xml:space="preserve">a slijede prihodi od prodaje proizvoda i robe te </w:t>
      </w:r>
      <w:r w:rsidR="00D03282" w:rsidRPr="00D610D6">
        <w:rPr>
          <w:noProof/>
          <w:sz w:val="24"/>
          <w:szCs w:val="24"/>
          <w:lang w:eastAsia="hr-HR"/>
        </w:rPr>
        <w:t xml:space="preserve">pruženih usluga </w:t>
      </w:r>
      <w:r w:rsidR="00343708" w:rsidRPr="00D610D6">
        <w:rPr>
          <w:noProof/>
          <w:sz w:val="24"/>
          <w:szCs w:val="24"/>
          <w:lang w:eastAsia="hr-HR"/>
        </w:rPr>
        <w:t xml:space="preserve">u iznosu od </w:t>
      </w:r>
      <w:r w:rsidR="00D14222" w:rsidRPr="00D610D6">
        <w:rPr>
          <w:noProof/>
          <w:sz w:val="24"/>
          <w:szCs w:val="24"/>
          <w:lang w:eastAsia="hr-HR"/>
        </w:rPr>
        <w:t>26,5</w:t>
      </w:r>
      <w:r w:rsidR="00343708" w:rsidRPr="00D610D6">
        <w:rPr>
          <w:noProof/>
          <w:sz w:val="24"/>
          <w:szCs w:val="24"/>
          <w:lang w:eastAsia="hr-HR"/>
        </w:rPr>
        <w:t xml:space="preserve"> milijuna </w:t>
      </w:r>
      <w:r w:rsidR="00620AA0" w:rsidRPr="00D610D6">
        <w:rPr>
          <w:noProof/>
          <w:sz w:val="24"/>
          <w:szCs w:val="24"/>
          <w:lang w:eastAsia="hr-HR"/>
        </w:rPr>
        <w:t xml:space="preserve">eura </w:t>
      </w:r>
      <w:r w:rsidR="00343708" w:rsidRPr="00D610D6">
        <w:rPr>
          <w:noProof/>
          <w:sz w:val="24"/>
          <w:szCs w:val="24"/>
          <w:lang w:eastAsia="hr-HR"/>
        </w:rPr>
        <w:t>i</w:t>
      </w:r>
      <w:r w:rsidR="006D258E" w:rsidRPr="00D610D6">
        <w:rPr>
          <w:noProof/>
          <w:sz w:val="24"/>
          <w:szCs w:val="24"/>
          <w:lang w:eastAsia="hr-HR"/>
        </w:rPr>
        <w:t xml:space="preserve"> udjelom od </w:t>
      </w:r>
      <w:r w:rsidR="00620AA0" w:rsidRPr="00D610D6">
        <w:rPr>
          <w:noProof/>
          <w:sz w:val="24"/>
          <w:szCs w:val="24"/>
          <w:lang w:eastAsia="hr-HR"/>
        </w:rPr>
        <w:t>4</w:t>
      </w:r>
      <w:r w:rsidR="00D14222" w:rsidRPr="00D610D6">
        <w:rPr>
          <w:noProof/>
          <w:sz w:val="24"/>
          <w:szCs w:val="24"/>
          <w:lang w:eastAsia="hr-HR"/>
        </w:rPr>
        <w:t>4,8</w:t>
      </w:r>
      <w:r w:rsidR="006D258E" w:rsidRPr="00D610D6">
        <w:rPr>
          <w:noProof/>
          <w:sz w:val="24"/>
          <w:szCs w:val="24"/>
          <w:lang w:eastAsia="hr-HR"/>
        </w:rPr>
        <w:t xml:space="preserve">%, dok se preostali udio </w:t>
      </w:r>
      <w:r w:rsidR="00B91496">
        <w:rPr>
          <w:noProof/>
          <w:sz w:val="24"/>
          <w:szCs w:val="24"/>
          <w:lang w:eastAsia="hr-HR"/>
        </w:rPr>
        <w:t xml:space="preserve">od 0,3% </w:t>
      </w:r>
      <w:r w:rsidR="006D258E" w:rsidRPr="00D610D6">
        <w:rPr>
          <w:noProof/>
          <w:sz w:val="24"/>
          <w:szCs w:val="24"/>
          <w:lang w:eastAsia="hr-HR"/>
        </w:rPr>
        <w:t>odnosi na prihode od imovin</w:t>
      </w:r>
      <w:r w:rsidR="00CF771E" w:rsidRPr="00D610D6">
        <w:rPr>
          <w:noProof/>
          <w:sz w:val="24"/>
          <w:szCs w:val="24"/>
          <w:lang w:eastAsia="hr-HR"/>
        </w:rPr>
        <w:t>e</w:t>
      </w:r>
      <w:r w:rsidR="007A6F1A">
        <w:rPr>
          <w:noProof/>
          <w:sz w:val="24"/>
          <w:szCs w:val="24"/>
          <w:lang w:eastAsia="hr-HR"/>
        </w:rPr>
        <w:t xml:space="preserve"> i </w:t>
      </w:r>
      <w:r w:rsidR="006D258E" w:rsidRPr="00D610D6">
        <w:rPr>
          <w:noProof/>
          <w:sz w:val="24"/>
          <w:szCs w:val="24"/>
          <w:lang w:eastAsia="hr-HR"/>
        </w:rPr>
        <w:t>ostale prihode.</w:t>
      </w:r>
      <w:r w:rsidR="003D4203" w:rsidRPr="00D610D6">
        <w:rPr>
          <w:noProof/>
          <w:sz w:val="24"/>
          <w:szCs w:val="24"/>
          <w:lang w:eastAsia="hr-HR"/>
        </w:rPr>
        <w:t xml:space="preserve"> </w:t>
      </w:r>
    </w:p>
    <w:p w:rsidR="000244D6" w:rsidRPr="000244D6" w:rsidRDefault="00A86916" w:rsidP="002D00FE">
      <w:pPr>
        <w:rPr>
          <w:noProof/>
          <w:sz w:val="24"/>
          <w:szCs w:val="24"/>
          <w:lang w:eastAsia="hr-HR"/>
        </w:rPr>
      </w:pPr>
      <w:r w:rsidRPr="00D610D6">
        <w:rPr>
          <w:noProof/>
          <w:sz w:val="24"/>
          <w:szCs w:val="24"/>
          <w:lang w:eastAsia="hr-HR"/>
        </w:rPr>
        <w:t>U</w:t>
      </w:r>
      <w:r w:rsidR="0054337B" w:rsidRPr="00D610D6">
        <w:rPr>
          <w:noProof/>
          <w:sz w:val="24"/>
          <w:szCs w:val="24"/>
          <w:lang w:eastAsia="hr-HR"/>
        </w:rPr>
        <w:t xml:space="preserve"> </w:t>
      </w:r>
      <w:r w:rsidR="0054337B" w:rsidRPr="000244D6">
        <w:rPr>
          <w:noProof/>
          <w:sz w:val="24"/>
          <w:szCs w:val="24"/>
          <w:lang w:eastAsia="hr-HR"/>
        </w:rPr>
        <w:t xml:space="preserve">odnosu na </w:t>
      </w:r>
      <w:r w:rsidR="005E662E" w:rsidRPr="000244D6">
        <w:rPr>
          <w:noProof/>
          <w:sz w:val="24"/>
          <w:szCs w:val="24"/>
          <w:lang w:eastAsia="hr-HR"/>
        </w:rPr>
        <w:t>prethodnu</w:t>
      </w:r>
      <w:r w:rsidR="0054337B" w:rsidRPr="000244D6">
        <w:rPr>
          <w:noProof/>
          <w:sz w:val="24"/>
          <w:szCs w:val="24"/>
          <w:lang w:eastAsia="hr-HR"/>
        </w:rPr>
        <w:t xml:space="preserve"> </w:t>
      </w:r>
      <w:r w:rsidR="005E662E" w:rsidRPr="000244D6">
        <w:rPr>
          <w:noProof/>
          <w:sz w:val="24"/>
          <w:szCs w:val="24"/>
          <w:lang w:eastAsia="hr-HR"/>
        </w:rPr>
        <w:t>godinu</w:t>
      </w:r>
      <w:r w:rsidR="00F17B21" w:rsidRPr="000244D6">
        <w:rPr>
          <w:noProof/>
          <w:sz w:val="24"/>
          <w:szCs w:val="24"/>
          <w:lang w:eastAsia="hr-HR"/>
        </w:rPr>
        <w:t xml:space="preserve"> </w:t>
      </w:r>
      <w:r w:rsidR="0054337B" w:rsidRPr="000244D6">
        <w:rPr>
          <w:noProof/>
          <w:sz w:val="24"/>
          <w:szCs w:val="24"/>
          <w:lang w:eastAsia="hr-HR"/>
        </w:rPr>
        <w:t xml:space="preserve">prihodi poslovanja bilježe povećanje od </w:t>
      </w:r>
      <w:r w:rsidR="00D610D6" w:rsidRPr="000244D6">
        <w:rPr>
          <w:noProof/>
          <w:sz w:val="24"/>
          <w:szCs w:val="24"/>
          <w:lang w:eastAsia="hr-HR"/>
        </w:rPr>
        <w:t>2,2</w:t>
      </w:r>
      <w:r w:rsidR="0054337B" w:rsidRPr="000244D6">
        <w:rPr>
          <w:noProof/>
          <w:sz w:val="24"/>
          <w:szCs w:val="24"/>
          <w:lang w:eastAsia="hr-HR"/>
        </w:rPr>
        <w:t xml:space="preserve">%. </w:t>
      </w:r>
      <w:r w:rsidR="00310706" w:rsidRPr="000244D6">
        <w:rPr>
          <w:noProof/>
          <w:sz w:val="24"/>
          <w:szCs w:val="24"/>
          <w:lang w:eastAsia="hr-HR"/>
        </w:rPr>
        <w:t xml:space="preserve">Od toga prihodi od ulaznica </w:t>
      </w:r>
      <w:r w:rsidR="008F09F3" w:rsidRPr="000244D6">
        <w:rPr>
          <w:noProof/>
          <w:sz w:val="24"/>
          <w:szCs w:val="24"/>
          <w:lang w:eastAsia="hr-HR"/>
        </w:rPr>
        <w:t xml:space="preserve">bilježe </w:t>
      </w:r>
      <w:r w:rsidR="00310706" w:rsidRPr="000244D6">
        <w:rPr>
          <w:noProof/>
          <w:sz w:val="24"/>
          <w:szCs w:val="24"/>
          <w:lang w:eastAsia="hr-HR"/>
        </w:rPr>
        <w:t xml:space="preserve">povećanje od </w:t>
      </w:r>
      <w:r w:rsidR="00D610D6" w:rsidRPr="000244D6">
        <w:rPr>
          <w:noProof/>
          <w:sz w:val="24"/>
          <w:szCs w:val="24"/>
          <w:lang w:eastAsia="hr-HR"/>
        </w:rPr>
        <w:t>0,3</w:t>
      </w:r>
      <w:r w:rsidR="00C03A50" w:rsidRPr="000244D6">
        <w:rPr>
          <w:noProof/>
          <w:sz w:val="24"/>
          <w:szCs w:val="24"/>
          <w:lang w:eastAsia="hr-HR"/>
        </w:rPr>
        <w:t xml:space="preserve">%, </w:t>
      </w:r>
      <w:r w:rsidR="00913854" w:rsidRPr="000244D6">
        <w:rPr>
          <w:noProof/>
          <w:sz w:val="24"/>
          <w:szCs w:val="24"/>
          <w:lang w:eastAsia="hr-HR"/>
        </w:rPr>
        <w:t xml:space="preserve">a </w:t>
      </w:r>
      <w:r w:rsidR="00C03A50" w:rsidRPr="000244D6">
        <w:rPr>
          <w:noProof/>
          <w:sz w:val="24"/>
          <w:szCs w:val="24"/>
          <w:lang w:eastAsia="hr-HR"/>
        </w:rPr>
        <w:t>prihodi od prodaje roba</w:t>
      </w:r>
      <w:r w:rsidR="00310706" w:rsidRPr="000244D6">
        <w:rPr>
          <w:noProof/>
          <w:sz w:val="24"/>
          <w:szCs w:val="24"/>
          <w:lang w:eastAsia="hr-HR"/>
        </w:rPr>
        <w:t xml:space="preserve"> i usluga po</w:t>
      </w:r>
      <w:r w:rsidR="00C03A50" w:rsidRPr="000244D6">
        <w:rPr>
          <w:noProof/>
          <w:sz w:val="24"/>
          <w:szCs w:val="24"/>
          <w:lang w:eastAsia="hr-HR"/>
        </w:rPr>
        <w:t>v</w:t>
      </w:r>
      <w:r w:rsidR="00310706" w:rsidRPr="000244D6">
        <w:rPr>
          <w:noProof/>
          <w:sz w:val="24"/>
          <w:szCs w:val="24"/>
          <w:lang w:eastAsia="hr-HR"/>
        </w:rPr>
        <w:t xml:space="preserve">ećanje od </w:t>
      </w:r>
      <w:r w:rsidR="00D610D6" w:rsidRPr="000244D6">
        <w:rPr>
          <w:noProof/>
          <w:sz w:val="24"/>
          <w:szCs w:val="24"/>
          <w:lang w:eastAsia="hr-HR"/>
        </w:rPr>
        <w:t>5,2</w:t>
      </w:r>
      <w:r w:rsidR="008F09F3" w:rsidRPr="000244D6">
        <w:rPr>
          <w:noProof/>
          <w:sz w:val="24"/>
          <w:szCs w:val="24"/>
          <w:lang w:eastAsia="hr-HR"/>
        </w:rPr>
        <w:t>%</w:t>
      </w:r>
      <w:r w:rsidR="00310706" w:rsidRPr="000244D6">
        <w:rPr>
          <w:noProof/>
          <w:sz w:val="24"/>
          <w:szCs w:val="24"/>
          <w:lang w:eastAsia="hr-HR"/>
        </w:rPr>
        <w:t>.</w:t>
      </w:r>
      <w:r w:rsidR="002A36F6" w:rsidRPr="000244D6">
        <w:rPr>
          <w:noProof/>
          <w:sz w:val="24"/>
          <w:szCs w:val="24"/>
          <w:lang w:eastAsia="hr-HR"/>
        </w:rPr>
        <w:t xml:space="preserve"> </w:t>
      </w:r>
      <w:r w:rsidR="000244D6" w:rsidRPr="000244D6">
        <w:rPr>
          <w:noProof/>
          <w:sz w:val="24"/>
          <w:szCs w:val="24"/>
          <w:lang w:eastAsia="hr-HR"/>
        </w:rPr>
        <w:t>Pomoći iz inozemstva i od subjekata unutar općeg proračuna u 2024. godini nisu ostvareni dok su u prethodnoj godini ostvareni u iznosu od 125,9 tisuća eura.</w:t>
      </w:r>
      <w:r w:rsidR="00FF0169">
        <w:rPr>
          <w:noProof/>
          <w:sz w:val="24"/>
          <w:szCs w:val="24"/>
          <w:lang w:eastAsia="hr-HR"/>
        </w:rPr>
        <w:t xml:space="preserve"> </w:t>
      </w:r>
      <w:r w:rsidR="001A0C1E">
        <w:rPr>
          <w:noProof/>
          <w:sz w:val="24"/>
          <w:szCs w:val="24"/>
          <w:lang w:eastAsia="hr-HR"/>
        </w:rPr>
        <w:t>U</w:t>
      </w:r>
      <w:r w:rsidR="00FF0169" w:rsidRPr="000244D6">
        <w:rPr>
          <w:noProof/>
          <w:sz w:val="24"/>
          <w:szCs w:val="24"/>
          <w:lang w:eastAsia="hr-HR"/>
        </w:rPr>
        <w:t xml:space="preserve"> odnosu na prethodnu godinu </w:t>
      </w:r>
      <w:r w:rsidR="001A0C1E">
        <w:rPr>
          <w:noProof/>
          <w:sz w:val="24"/>
          <w:szCs w:val="24"/>
          <w:lang w:eastAsia="hr-HR"/>
        </w:rPr>
        <w:t xml:space="preserve">povećanje </w:t>
      </w:r>
      <w:r w:rsidR="00FF0169" w:rsidRPr="000244D6">
        <w:rPr>
          <w:noProof/>
          <w:sz w:val="24"/>
          <w:szCs w:val="24"/>
          <w:lang w:eastAsia="hr-HR"/>
        </w:rPr>
        <w:t>od 27,6 tisuća eura bilježe kazne, upravne mjere i ostali prihodi</w:t>
      </w:r>
      <w:r w:rsidR="001A0C1E">
        <w:rPr>
          <w:noProof/>
          <w:sz w:val="24"/>
          <w:szCs w:val="24"/>
          <w:lang w:eastAsia="hr-HR"/>
        </w:rPr>
        <w:t xml:space="preserve"> te </w:t>
      </w:r>
      <w:r w:rsidR="00FF0169" w:rsidRPr="000244D6">
        <w:rPr>
          <w:noProof/>
          <w:sz w:val="24"/>
          <w:szCs w:val="24"/>
          <w:lang w:eastAsia="hr-HR"/>
        </w:rPr>
        <w:t>prihodi od imovine</w:t>
      </w:r>
      <w:r w:rsidR="001A0C1E" w:rsidRPr="001A0C1E">
        <w:t xml:space="preserve"> </w:t>
      </w:r>
      <w:r w:rsidR="001A0C1E" w:rsidRPr="001A0C1E">
        <w:rPr>
          <w:noProof/>
          <w:sz w:val="24"/>
          <w:szCs w:val="24"/>
          <w:lang w:eastAsia="hr-HR"/>
        </w:rPr>
        <w:t>povećanje od 9,9 tisuća eura</w:t>
      </w:r>
      <w:bookmarkStart w:id="0" w:name="_GoBack"/>
      <w:bookmarkEnd w:id="0"/>
      <w:r w:rsidR="00FF0169" w:rsidRPr="000244D6">
        <w:rPr>
          <w:noProof/>
          <w:sz w:val="24"/>
          <w:szCs w:val="24"/>
          <w:lang w:eastAsia="hr-HR"/>
        </w:rPr>
        <w:t>.</w:t>
      </w:r>
    </w:p>
    <w:p w:rsidR="00603EB2" w:rsidRDefault="002A36F6" w:rsidP="002D00FE">
      <w:pPr>
        <w:rPr>
          <w:i/>
          <w:noProof/>
          <w:color w:val="C00000"/>
          <w:sz w:val="24"/>
          <w:szCs w:val="24"/>
          <w:lang w:eastAsia="hr-HR"/>
        </w:rPr>
      </w:pPr>
      <w:r w:rsidRPr="000D0446">
        <w:rPr>
          <w:noProof/>
          <w:sz w:val="24"/>
          <w:szCs w:val="24"/>
          <w:lang w:eastAsia="hr-HR"/>
        </w:rPr>
        <w:t xml:space="preserve">Prihodi od prodaje nefinancijske imovine </w:t>
      </w:r>
      <w:r w:rsidR="00D610D6" w:rsidRPr="000D0446">
        <w:rPr>
          <w:noProof/>
          <w:sz w:val="24"/>
          <w:szCs w:val="24"/>
          <w:lang w:eastAsia="hr-HR"/>
        </w:rPr>
        <w:t>nisu ostvar</w:t>
      </w:r>
      <w:r w:rsidR="001A0C1E" w:rsidRPr="000D0446">
        <w:rPr>
          <w:noProof/>
          <w:sz w:val="24"/>
          <w:szCs w:val="24"/>
          <w:lang w:eastAsia="hr-HR"/>
        </w:rPr>
        <w:t>e</w:t>
      </w:r>
      <w:r w:rsidR="00D610D6" w:rsidRPr="000D0446">
        <w:rPr>
          <w:noProof/>
          <w:sz w:val="24"/>
          <w:szCs w:val="24"/>
          <w:lang w:eastAsia="hr-HR"/>
        </w:rPr>
        <w:t xml:space="preserve">ni </w:t>
      </w:r>
      <w:r w:rsidRPr="000D0446">
        <w:rPr>
          <w:noProof/>
          <w:sz w:val="24"/>
          <w:szCs w:val="24"/>
          <w:lang w:eastAsia="hr-HR"/>
        </w:rPr>
        <w:t>u 202</w:t>
      </w:r>
      <w:r w:rsidR="00D610D6" w:rsidRPr="000D0446">
        <w:rPr>
          <w:noProof/>
          <w:sz w:val="24"/>
          <w:szCs w:val="24"/>
          <w:lang w:eastAsia="hr-HR"/>
        </w:rPr>
        <w:t>4. kao ni u 2023. godini.</w:t>
      </w:r>
    </w:p>
    <w:p w:rsidR="00B6675D" w:rsidRDefault="00B6675D" w:rsidP="002D00FE">
      <w:pPr>
        <w:rPr>
          <w:i/>
          <w:noProof/>
          <w:color w:val="C00000"/>
          <w:sz w:val="24"/>
          <w:szCs w:val="24"/>
          <w:lang w:eastAsia="hr-HR"/>
        </w:rPr>
      </w:pPr>
    </w:p>
    <w:p w:rsidR="000244D6" w:rsidRDefault="000244D6" w:rsidP="002D00FE">
      <w:pPr>
        <w:rPr>
          <w:i/>
          <w:noProof/>
          <w:color w:val="C00000"/>
          <w:sz w:val="24"/>
          <w:szCs w:val="24"/>
          <w:lang w:eastAsia="hr-HR"/>
        </w:rPr>
      </w:pPr>
    </w:p>
    <w:p w:rsidR="000244D6" w:rsidRDefault="000244D6" w:rsidP="002D00FE">
      <w:pPr>
        <w:rPr>
          <w:i/>
          <w:noProof/>
          <w:color w:val="C00000"/>
          <w:sz w:val="24"/>
          <w:szCs w:val="24"/>
          <w:lang w:eastAsia="hr-HR"/>
        </w:rPr>
      </w:pPr>
    </w:p>
    <w:p w:rsidR="000244D6" w:rsidRDefault="000244D6" w:rsidP="002D00FE">
      <w:pPr>
        <w:rPr>
          <w:i/>
          <w:noProof/>
          <w:color w:val="C00000"/>
          <w:sz w:val="24"/>
          <w:szCs w:val="24"/>
          <w:lang w:eastAsia="hr-HR"/>
        </w:rPr>
      </w:pPr>
    </w:p>
    <w:p w:rsidR="00B6675D" w:rsidRDefault="00B6675D" w:rsidP="002D00FE">
      <w:pPr>
        <w:rPr>
          <w:i/>
          <w:noProof/>
          <w:color w:val="C00000"/>
          <w:sz w:val="24"/>
          <w:szCs w:val="24"/>
          <w:lang w:eastAsia="hr-HR"/>
        </w:rPr>
      </w:pPr>
    </w:p>
    <w:p w:rsidR="0094527C" w:rsidRDefault="0094527C" w:rsidP="002D00FE">
      <w:pPr>
        <w:rPr>
          <w:i/>
          <w:noProof/>
          <w:color w:val="C00000"/>
          <w:sz w:val="24"/>
          <w:szCs w:val="24"/>
          <w:lang w:eastAsia="hr-HR"/>
        </w:rPr>
      </w:pPr>
    </w:p>
    <w:p w:rsidR="00D63950" w:rsidRDefault="00D63950" w:rsidP="002D00FE">
      <w:pPr>
        <w:rPr>
          <w:i/>
          <w:noProof/>
          <w:color w:val="C00000"/>
          <w:sz w:val="24"/>
          <w:szCs w:val="24"/>
          <w:lang w:eastAsia="hr-HR"/>
        </w:rPr>
      </w:pPr>
    </w:p>
    <w:p w:rsidR="002D00FE" w:rsidRPr="0094527C" w:rsidRDefault="002F143E" w:rsidP="002D00FE">
      <w:pPr>
        <w:rPr>
          <w:i/>
          <w:noProof/>
          <w:sz w:val="24"/>
          <w:szCs w:val="24"/>
          <w:lang w:eastAsia="hr-HR"/>
        </w:rPr>
      </w:pPr>
      <w:r w:rsidRPr="0094527C">
        <w:rPr>
          <w:i/>
          <w:noProof/>
          <w:sz w:val="24"/>
          <w:szCs w:val="24"/>
          <w:lang w:eastAsia="hr-HR"/>
        </w:rPr>
        <w:lastRenderedPageBreak/>
        <w:t xml:space="preserve">Tablica 2. </w:t>
      </w:r>
      <w:r w:rsidR="002D00FE" w:rsidRPr="0094527C">
        <w:rPr>
          <w:i/>
          <w:noProof/>
          <w:sz w:val="24"/>
          <w:szCs w:val="24"/>
          <w:lang w:eastAsia="hr-HR"/>
        </w:rPr>
        <w:t>Prihodi prema izvorima financiranja</w:t>
      </w:r>
    </w:p>
    <w:tbl>
      <w:tblPr>
        <w:tblW w:w="9992" w:type="dxa"/>
        <w:jc w:val="center"/>
        <w:tblLook w:val="04A0" w:firstRow="1" w:lastRow="0" w:firstColumn="1" w:lastColumn="0" w:noHBand="0" w:noVBand="1"/>
      </w:tblPr>
      <w:tblGrid>
        <w:gridCol w:w="3890"/>
        <w:gridCol w:w="1400"/>
        <w:gridCol w:w="1400"/>
        <w:gridCol w:w="1400"/>
        <w:gridCol w:w="951"/>
        <w:gridCol w:w="951"/>
      </w:tblGrid>
      <w:tr w:rsidR="008E2142" w:rsidRPr="008E2142" w:rsidTr="008E2142">
        <w:trPr>
          <w:trHeight w:val="900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hr-HR" w:eastAsia="hr-HR"/>
              </w:rPr>
            </w:pPr>
            <w:r w:rsidRPr="008E2142">
              <w:rPr>
                <w:rFonts w:ascii="Verdana" w:hAnsi="Verdana" w:cs="Calibri"/>
                <w:color w:val="000000"/>
                <w:sz w:val="16"/>
                <w:szCs w:val="16"/>
                <w:lang w:val="hr-HR" w:eastAsia="hr-HR"/>
              </w:rPr>
              <w:t>BROJČANA OZNAKA I NAZIV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hr-HR" w:eastAsia="hr-HR"/>
              </w:rPr>
            </w:pPr>
            <w:r w:rsidRPr="008E2142">
              <w:rPr>
                <w:rFonts w:ascii="Verdana" w:hAnsi="Verdana" w:cs="Calibri"/>
                <w:color w:val="000000"/>
                <w:sz w:val="16"/>
                <w:szCs w:val="16"/>
                <w:lang w:val="hr-HR" w:eastAsia="hr-HR"/>
              </w:rPr>
              <w:t>OSTVARENJE 2023.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hr-HR" w:eastAsia="hr-HR"/>
              </w:rPr>
            </w:pPr>
            <w:r w:rsidRPr="008E2142">
              <w:rPr>
                <w:rFonts w:ascii="Verdana" w:hAnsi="Verdana" w:cs="Calibri"/>
                <w:sz w:val="16"/>
                <w:szCs w:val="16"/>
                <w:lang w:val="hr-HR" w:eastAsia="hr-HR"/>
              </w:rPr>
              <w:t>PLAN 2024.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hr-HR" w:eastAsia="hr-HR"/>
              </w:rPr>
            </w:pPr>
            <w:r w:rsidRPr="008E2142">
              <w:rPr>
                <w:rFonts w:ascii="Verdana" w:hAnsi="Verdana" w:cs="Calibri"/>
                <w:color w:val="000000"/>
                <w:sz w:val="16"/>
                <w:szCs w:val="16"/>
                <w:lang w:val="hr-HR" w:eastAsia="hr-HR"/>
              </w:rPr>
              <w:t>OSTVARENJE 2024.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hr-HR" w:eastAsia="hr-HR"/>
              </w:rPr>
            </w:pPr>
            <w:r w:rsidRPr="008E2142">
              <w:rPr>
                <w:rFonts w:ascii="Verdana" w:hAnsi="Verdana" w:cs="Calibri"/>
                <w:color w:val="000000"/>
                <w:sz w:val="16"/>
                <w:szCs w:val="16"/>
                <w:lang w:val="hr-HR" w:eastAsia="hr-HR"/>
              </w:rPr>
              <w:t>INDEKS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hr-HR" w:eastAsia="hr-HR"/>
              </w:rPr>
            </w:pPr>
            <w:r w:rsidRPr="008E2142">
              <w:rPr>
                <w:rFonts w:ascii="Verdana" w:hAnsi="Verdana" w:cs="Calibri"/>
                <w:color w:val="000000"/>
                <w:sz w:val="16"/>
                <w:szCs w:val="16"/>
                <w:lang w:val="hr-HR" w:eastAsia="hr-HR"/>
              </w:rPr>
              <w:t>INDEKS</w:t>
            </w:r>
          </w:p>
        </w:tc>
      </w:tr>
      <w:tr w:rsidR="008E2142" w:rsidRPr="008E2142" w:rsidTr="008E2142">
        <w:trPr>
          <w:trHeight w:val="240"/>
          <w:jc w:val="center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5=4/2*100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6=4/3*100</w:t>
            </w:r>
          </w:p>
        </w:tc>
      </w:tr>
      <w:tr w:rsidR="008E2142" w:rsidRPr="008E2142" w:rsidTr="00784E0D">
        <w:trPr>
          <w:trHeight w:val="300"/>
          <w:jc w:val="center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sz w:val="16"/>
                <w:szCs w:val="16"/>
                <w:lang w:val="hr-HR" w:eastAsia="hr-HR"/>
              </w:rPr>
              <w:t>UKUPNO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sz w:val="16"/>
                <w:szCs w:val="16"/>
                <w:lang w:val="hr-HR" w:eastAsia="hr-HR"/>
              </w:rPr>
              <w:t>57.804.261,71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sz w:val="16"/>
                <w:szCs w:val="16"/>
                <w:lang w:val="hr-HR" w:eastAsia="hr-HR"/>
              </w:rPr>
              <w:t>57.849.988,00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sz w:val="16"/>
                <w:szCs w:val="16"/>
                <w:lang w:val="hr-HR" w:eastAsia="hr-HR"/>
              </w:rPr>
              <w:t>59.100.235,54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sz w:val="16"/>
                <w:szCs w:val="16"/>
                <w:lang w:val="hr-HR" w:eastAsia="hr-HR"/>
              </w:rPr>
              <w:t>102,24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sz w:val="16"/>
                <w:szCs w:val="16"/>
                <w:lang w:val="hr-HR" w:eastAsia="hr-HR"/>
              </w:rPr>
              <w:t>102,16</w:t>
            </w:r>
          </w:p>
        </w:tc>
      </w:tr>
      <w:tr w:rsidR="008E2142" w:rsidRPr="008E2142" w:rsidTr="00784E0D">
        <w:trPr>
          <w:trHeight w:val="300"/>
          <w:jc w:val="center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ind w:firstLineChars="300" w:firstLine="48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Izvor: 3 Vlastiti prihodi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25.153.683,79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sz w:val="16"/>
                <w:szCs w:val="16"/>
                <w:lang w:val="hr-HR" w:eastAsia="hr-HR"/>
              </w:rPr>
              <w:t>23.945.588,00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26.485.746,44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105,30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110,61</w:t>
            </w:r>
          </w:p>
        </w:tc>
      </w:tr>
      <w:tr w:rsidR="008E2142" w:rsidRPr="008E2142" w:rsidTr="00784E0D">
        <w:trPr>
          <w:trHeight w:val="300"/>
          <w:jc w:val="center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ind w:firstLineChars="300" w:firstLine="48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Izvor: 4 Prihodi posebne namjene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32.504.557,98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sz w:val="16"/>
                <w:szCs w:val="16"/>
                <w:lang w:val="hr-HR" w:eastAsia="hr-HR"/>
              </w:rPr>
              <w:t>33.904.400,00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32.614.489,10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100,34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96,20</w:t>
            </w:r>
          </w:p>
        </w:tc>
      </w:tr>
      <w:tr w:rsidR="008E2142" w:rsidRPr="008E2142" w:rsidTr="00784E0D">
        <w:trPr>
          <w:trHeight w:val="300"/>
          <w:jc w:val="center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ind w:firstLineChars="300" w:firstLine="48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Izvor: 5 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125.923,69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lef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8E2142" w:rsidRPr="008E2142" w:rsidTr="00784E0D">
        <w:trPr>
          <w:trHeight w:val="300"/>
          <w:jc w:val="center"/>
        </w:trPr>
        <w:tc>
          <w:tcPr>
            <w:tcW w:w="3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ind w:firstLineChars="300" w:firstLine="48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Izvor: 6 Donacije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20.096,25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lef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142" w:rsidRPr="008E2142" w:rsidRDefault="008E2142" w:rsidP="008E2142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E2142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</w:tbl>
    <w:p w:rsidR="008E2142" w:rsidRDefault="008E2142" w:rsidP="002D00FE">
      <w:pPr>
        <w:rPr>
          <w:noProof/>
          <w:color w:val="C00000"/>
          <w:sz w:val="24"/>
          <w:szCs w:val="24"/>
          <w:lang w:eastAsia="hr-HR"/>
        </w:rPr>
      </w:pPr>
    </w:p>
    <w:p w:rsidR="002D00FE" w:rsidRPr="00BF0D7A" w:rsidRDefault="002D00FE" w:rsidP="002D00FE">
      <w:pPr>
        <w:rPr>
          <w:noProof/>
          <w:sz w:val="24"/>
          <w:szCs w:val="24"/>
          <w:lang w:eastAsia="hr-HR"/>
        </w:rPr>
      </w:pPr>
      <w:r w:rsidRPr="00BF0D7A">
        <w:rPr>
          <w:noProof/>
          <w:sz w:val="24"/>
          <w:szCs w:val="24"/>
          <w:lang w:eastAsia="hr-HR"/>
        </w:rPr>
        <w:t xml:space="preserve">Od ukupno ostvarenih prihoda u iznosu od </w:t>
      </w:r>
      <w:r w:rsidR="00BF0D7A" w:rsidRPr="00BF0D7A">
        <w:rPr>
          <w:noProof/>
          <w:sz w:val="24"/>
          <w:szCs w:val="24"/>
          <w:lang w:eastAsia="hr-HR"/>
        </w:rPr>
        <w:t>59,1</w:t>
      </w:r>
      <w:r w:rsidRPr="00BF0D7A">
        <w:rPr>
          <w:noProof/>
          <w:sz w:val="24"/>
          <w:szCs w:val="24"/>
          <w:lang w:eastAsia="hr-HR"/>
        </w:rPr>
        <w:t xml:space="preserve"> milijun </w:t>
      </w:r>
      <w:r w:rsidR="009C4D6A" w:rsidRPr="00BF0D7A">
        <w:rPr>
          <w:noProof/>
          <w:sz w:val="24"/>
          <w:szCs w:val="24"/>
          <w:lang w:eastAsia="hr-HR"/>
        </w:rPr>
        <w:t>eura</w:t>
      </w:r>
      <w:r w:rsidRPr="00BF0D7A">
        <w:rPr>
          <w:noProof/>
          <w:sz w:val="24"/>
          <w:szCs w:val="24"/>
          <w:lang w:eastAsia="hr-HR"/>
        </w:rPr>
        <w:t xml:space="preserve">, najveći iznos od </w:t>
      </w:r>
      <w:r w:rsidR="00267EF1" w:rsidRPr="00BF0D7A">
        <w:rPr>
          <w:noProof/>
          <w:sz w:val="24"/>
          <w:szCs w:val="24"/>
          <w:lang w:eastAsia="hr-HR"/>
        </w:rPr>
        <w:t>32,</w:t>
      </w:r>
      <w:r w:rsidR="00BF0D7A" w:rsidRPr="00BF0D7A">
        <w:rPr>
          <w:noProof/>
          <w:sz w:val="24"/>
          <w:szCs w:val="24"/>
          <w:lang w:eastAsia="hr-HR"/>
        </w:rPr>
        <w:t>6</w:t>
      </w:r>
      <w:r w:rsidRPr="00BF0D7A">
        <w:rPr>
          <w:noProof/>
          <w:sz w:val="24"/>
          <w:szCs w:val="24"/>
          <w:lang w:eastAsia="hr-HR"/>
        </w:rPr>
        <w:t xml:space="preserve"> milijuna </w:t>
      </w:r>
      <w:r w:rsidR="009C4D6A" w:rsidRPr="00BF0D7A">
        <w:rPr>
          <w:noProof/>
          <w:sz w:val="24"/>
          <w:szCs w:val="24"/>
          <w:lang w:eastAsia="hr-HR"/>
        </w:rPr>
        <w:t>eura</w:t>
      </w:r>
      <w:r w:rsidRPr="00BF0D7A">
        <w:rPr>
          <w:noProof/>
          <w:sz w:val="24"/>
          <w:szCs w:val="24"/>
          <w:lang w:eastAsia="hr-HR"/>
        </w:rPr>
        <w:t xml:space="preserve"> ostvaren je iz izvora financiranja Prihodi za posebne namjene, dok je iz izvora financiranja Vlastiti prihodi ostvareno </w:t>
      </w:r>
      <w:r w:rsidR="00267EF1" w:rsidRPr="00BF0D7A">
        <w:rPr>
          <w:noProof/>
          <w:sz w:val="24"/>
          <w:szCs w:val="24"/>
          <w:lang w:eastAsia="hr-HR"/>
        </w:rPr>
        <w:t>2</w:t>
      </w:r>
      <w:r w:rsidR="00BF0D7A" w:rsidRPr="00BF0D7A">
        <w:rPr>
          <w:noProof/>
          <w:sz w:val="24"/>
          <w:szCs w:val="24"/>
          <w:lang w:eastAsia="hr-HR"/>
        </w:rPr>
        <w:t>6</w:t>
      </w:r>
      <w:r w:rsidR="00267EF1" w:rsidRPr="00BF0D7A">
        <w:rPr>
          <w:noProof/>
          <w:sz w:val="24"/>
          <w:szCs w:val="24"/>
          <w:lang w:eastAsia="hr-HR"/>
        </w:rPr>
        <w:t>,</w:t>
      </w:r>
      <w:r w:rsidR="00BF0D7A" w:rsidRPr="00BF0D7A">
        <w:rPr>
          <w:noProof/>
          <w:sz w:val="24"/>
          <w:szCs w:val="24"/>
          <w:lang w:eastAsia="hr-HR"/>
        </w:rPr>
        <w:t>5</w:t>
      </w:r>
      <w:r w:rsidR="00DD2CF7" w:rsidRPr="00BF0D7A">
        <w:rPr>
          <w:noProof/>
          <w:sz w:val="24"/>
          <w:szCs w:val="24"/>
          <w:lang w:eastAsia="hr-HR"/>
        </w:rPr>
        <w:t xml:space="preserve"> milijuna </w:t>
      </w:r>
      <w:r w:rsidR="009C4D6A" w:rsidRPr="00BF0D7A">
        <w:rPr>
          <w:noProof/>
          <w:sz w:val="24"/>
          <w:szCs w:val="24"/>
          <w:lang w:eastAsia="hr-HR"/>
        </w:rPr>
        <w:t>eura</w:t>
      </w:r>
      <w:r w:rsidR="00DD2CF7" w:rsidRPr="00BF0D7A">
        <w:rPr>
          <w:noProof/>
          <w:sz w:val="24"/>
          <w:szCs w:val="24"/>
          <w:lang w:eastAsia="hr-HR"/>
        </w:rPr>
        <w:t>. I</w:t>
      </w:r>
      <w:r w:rsidRPr="00BF0D7A">
        <w:rPr>
          <w:noProof/>
          <w:sz w:val="24"/>
          <w:szCs w:val="24"/>
          <w:lang w:eastAsia="hr-HR"/>
        </w:rPr>
        <w:t>z izvora Pomoći</w:t>
      </w:r>
      <w:r w:rsidR="00DD2CF7" w:rsidRPr="00BF0D7A">
        <w:rPr>
          <w:noProof/>
          <w:sz w:val="24"/>
          <w:szCs w:val="24"/>
          <w:lang w:eastAsia="hr-HR"/>
        </w:rPr>
        <w:t xml:space="preserve"> </w:t>
      </w:r>
      <w:r w:rsidR="00BF0D7A" w:rsidRPr="00BF0D7A">
        <w:rPr>
          <w:noProof/>
          <w:sz w:val="24"/>
          <w:szCs w:val="24"/>
          <w:lang w:eastAsia="hr-HR"/>
        </w:rPr>
        <w:t xml:space="preserve">i Donacije nisu ostvareni prihodi dok je u 2023. godini ostvareno </w:t>
      </w:r>
      <w:r w:rsidR="00267EF1" w:rsidRPr="00BF0D7A">
        <w:rPr>
          <w:noProof/>
          <w:sz w:val="24"/>
          <w:szCs w:val="24"/>
          <w:lang w:eastAsia="hr-HR"/>
        </w:rPr>
        <w:t>125,9</w:t>
      </w:r>
      <w:r w:rsidRPr="00BF0D7A">
        <w:rPr>
          <w:noProof/>
          <w:sz w:val="24"/>
          <w:szCs w:val="24"/>
          <w:lang w:eastAsia="hr-HR"/>
        </w:rPr>
        <w:t xml:space="preserve"> tisuća </w:t>
      </w:r>
      <w:r w:rsidR="009C4D6A" w:rsidRPr="00BF0D7A">
        <w:rPr>
          <w:noProof/>
          <w:sz w:val="24"/>
          <w:szCs w:val="24"/>
          <w:lang w:eastAsia="hr-HR"/>
        </w:rPr>
        <w:t>eura</w:t>
      </w:r>
      <w:r w:rsidR="00BF0D7A" w:rsidRPr="00BF0D7A">
        <w:rPr>
          <w:noProof/>
          <w:sz w:val="24"/>
          <w:szCs w:val="24"/>
          <w:lang w:eastAsia="hr-HR"/>
        </w:rPr>
        <w:t xml:space="preserve"> iz izvora Pomoći</w:t>
      </w:r>
      <w:r w:rsidR="00267EF1" w:rsidRPr="00BF0D7A">
        <w:rPr>
          <w:noProof/>
          <w:sz w:val="24"/>
          <w:szCs w:val="24"/>
          <w:lang w:eastAsia="hr-HR"/>
        </w:rPr>
        <w:t xml:space="preserve">, a </w:t>
      </w:r>
      <w:r w:rsidR="00BF0D7A" w:rsidRPr="00BF0D7A">
        <w:rPr>
          <w:noProof/>
          <w:sz w:val="24"/>
          <w:szCs w:val="24"/>
          <w:lang w:eastAsia="hr-HR"/>
        </w:rPr>
        <w:t xml:space="preserve">20,1 tisuću eura </w:t>
      </w:r>
      <w:r w:rsidR="00267EF1" w:rsidRPr="00BF0D7A">
        <w:rPr>
          <w:noProof/>
          <w:sz w:val="24"/>
          <w:szCs w:val="24"/>
          <w:lang w:eastAsia="hr-HR"/>
        </w:rPr>
        <w:t>iz izvora Donacije</w:t>
      </w:r>
      <w:r w:rsidR="00BF0D7A" w:rsidRPr="00BF0D7A">
        <w:rPr>
          <w:noProof/>
          <w:sz w:val="24"/>
          <w:szCs w:val="24"/>
          <w:lang w:eastAsia="hr-HR"/>
        </w:rPr>
        <w:t xml:space="preserve">. </w:t>
      </w:r>
    </w:p>
    <w:p w:rsidR="00A86916" w:rsidRPr="000244D6" w:rsidRDefault="00A86916" w:rsidP="001F03F2">
      <w:pPr>
        <w:rPr>
          <w:b/>
          <w:noProof/>
          <w:color w:val="C00000"/>
          <w:sz w:val="24"/>
          <w:szCs w:val="24"/>
          <w:lang w:eastAsia="hr-HR"/>
        </w:rPr>
      </w:pPr>
    </w:p>
    <w:p w:rsidR="005A4613" w:rsidRPr="006A3504" w:rsidRDefault="005A4613" w:rsidP="001F03F2">
      <w:pPr>
        <w:rPr>
          <w:b/>
          <w:noProof/>
          <w:sz w:val="24"/>
          <w:szCs w:val="24"/>
          <w:lang w:eastAsia="hr-HR"/>
        </w:rPr>
      </w:pPr>
      <w:r w:rsidRPr="006A3504">
        <w:rPr>
          <w:b/>
          <w:noProof/>
          <w:sz w:val="24"/>
          <w:szCs w:val="24"/>
          <w:lang w:eastAsia="hr-HR"/>
        </w:rPr>
        <w:t>RASHODI</w:t>
      </w:r>
    </w:p>
    <w:p w:rsidR="005A4613" w:rsidRPr="006A3504" w:rsidRDefault="005A4613" w:rsidP="001F03F2">
      <w:pPr>
        <w:rPr>
          <w:noProof/>
          <w:sz w:val="24"/>
          <w:szCs w:val="24"/>
          <w:lang w:eastAsia="hr-HR"/>
        </w:rPr>
      </w:pPr>
    </w:p>
    <w:p w:rsidR="001F03F2" w:rsidRDefault="002F143E" w:rsidP="001F03F2">
      <w:pPr>
        <w:rPr>
          <w:i/>
          <w:noProof/>
          <w:sz w:val="24"/>
          <w:szCs w:val="24"/>
          <w:lang w:eastAsia="hr-HR"/>
        </w:rPr>
      </w:pPr>
      <w:r w:rsidRPr="006A3504">
        <w:rPr>
          <w:i/>
          <w:noProof/>
          <w:sz w:val="24"/>
          <w:szCs w:val="24"/>
          <w:lang w:eastAsia="hr-HR"/>
        </w:rPr>
        <w:t xml:space="preserve">Tablica </w:t>
      </w:r>
      <w:r w:rsidR="008C22F3" w:rsidRPr="006A3504">
        <w:rPr>
          <w:i/>
          <w:noProof/>
          <w:sz w:val="24"/>
          <w:szCs w:val="24"/>
          <w:lang w:eastAsia="hr-HR"/>
        </w:rPr>
        <w:t>3</w:t>
      </w:r>
      <w:r w:rsidRPr="006A3504">
        <w:rPr>
          <w:i/>
          <w:noProof/>
          <w:sz w:val="24"/>
          <w:szCs w:val="24"/>
          <w:lang w:eastAsia="hr-HR"/>
        </w:rPr>
        <w:t xml:space="preserve">. </w:t>
      </w:r>
      <w:r w:rsidR="006B59D4" w:rsidRPr="006A3504">
        <w:rPr>
          <w:i/>
          <w:noProof/>
          <w:sz w:val="24"/>
          <w:szCs w:val="24"/>
          <w:lang w:eastAsia="hr-HR"/>
        </w:rPr>
        <w:t>R</w:t>
      </w:r>
      <w:r w:rsidR="001F03F2" w:rsidRPr="006A3504">
        <w:rPr>
          <w:i/>
          <w:noProof/>
          <w:sz w:val="24"/>
          <w:szCs w:val="24"/>
          <w:lang w:eastAsia="hr-HR"/>
        </w:rPr>
        <w:t>ashodi prema ekonomskoj klasifikaciji</w:t>
      </w:r>
    </w:p>
    <w:tbl>
      <w:tblPr>
        <w:tblW w:w="9998" w:type="dxa"/>
        <w:jc w:val="center"/>
        <w:tblLook w:val="04A0" w:firstRow="1" w:lastRow="0" w:firstColumn="1" w:lastColumn="0" w:noHBand="0" w:noVBand="1"/>
      </w:tblPr>
      <w:tblGrid>
        <w:gridCol w:w="3988"/>
        <w:gridCol w:w="1371"/>
        <w:gridCol w:w="1366"/>
        <w:gridCol w:w="1371"/>
        <w:gridCol w:w="951"/>
        <w:gridCol w:w="951"/>
      </w:tblGrid>
      <w:tr w:rsidR="00784E0D" w:rsidRPr="00784E0D" w:rsidTr="00784E0D">
        <w:trPr>
          <w:trHeight w:val="900"/>
          <w:jc w:val="center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BROJČANA OZNAKA I NAZIV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OSTVARENJE 2023.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PLAN 2024.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OSTVARENJE 2024.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INDEKS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INDEKS</w:t>
            </w:r>
          </w:p>
        </w:tc>
      </w:tr>
      <w:tr w:rsidR="00784E0D" w:rsidRPr="00784E0D" w:rsidTr="00784E0D">
        <w:trPr>
          <w:trHeight w:val="240"/>
          <w:jc w:val="center"/>
        </w:trPr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5=4/2*100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6=4/3*100</w:t>
            </w:r>
          </w:p>
        </w:tc>
      </w:tr>
      <w:tr w:rsidR="00784E0D" w:rsidRPr="00784E0D" w:rsidTr="00784E0D">
        <w:trPr>
          <w:trHeight w:val="300"/>
          <w:jc w:val="center"/>
        </w:trPr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sz w:val="16"/>
                <w:szCs w:val="16"/>
                <w:lang w:val="hr-HR" w:eastAsia="hr-HR"/>
              </w:rPr>
              <w:t>UKUPNO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sz w:val="16"/>
                <w:szCs w:val="16"/>
                <w:lang w:val="hr-HR" w:eastAsia="hr-HR"/>
              </w:rPr>
              <w:t>41.250.353,47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sz w:val="16"/>
                <w:szCs w:val="16"/>
                <w:lang w:val="hr-HR" w:eastAsia="hr-HR"/>
              </w:rPr>
              <w:t>64.818.080,00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sz w:val="16"/>
                <w:szCs w:val="16"/>
                <w:lang w:val="hr-HR" w:eastAsia="hr-HR"/>
              </w:rPr>
              <w:t>50.974.925,44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sz w:val="16"/>
                <w:szCs w:val="16"/>
                <w:lang w:val="hr-HR" w:eastAsia="hr-HR"/>
              </w:rPr>
              <w:t>123,57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sz w:val="16"/>
                <w:szCs w:val="16"/>
                <w:lang w:val="hr-HR" w:eastAsia="hr-HR"/>
              </w:rPr>
              <w:t>78,64</w:t>
            </w:r>
          </w:p>
        </w:tc>
      </w:tr>
      <w:tr w:rsidR="00784E0D" w:rsidRPr="00784E0D" w:rsidTr="00784E0D">
        <w:trPr>
          <w:trHeight w:val="300"/>
          <w:jc w:val="center"/>
        </w:trPr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 Rashodi poslovanja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38.862.819,44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52.769.113,00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47.290.825,79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121,69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89,62</w:t>
            </w:r>
          </w:p>
        </w:tc>
      </w:tr>
      <w:tr w:rsidR="00784E0D" w:rsidRPr="00784E0D" w:rsidTr="00784E0D">
        <w:trPr>
          <w:trHeight w:val="300"/>
          <w:jc w:val="center"/>
        </w:trPr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31 Rashodi za zaposlene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20.213.194,17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27.632.692,00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24.378.324,15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120,61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88,22</w:t>
            </w:r>
          </w:p>
        </w:tc>
      </w:tr>
      <w:tr w:rsidR="00784E0D" w:rsidRPr="00784E0D" w:rsidTr="00784E0D">
        <w:trPr>
          <w:trHeight w:val="300"/>
          <w:jc w:val="center"/>
        </w:trPr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32 Materijalni rashodi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15.660.229,87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21.199.533,00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19.662.478,07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125,56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92,75</w:t>
            </w:r>
          </w:p>
        </w:tc>
      </w:tr>
      <w:tr w:rsidR="00784E0D" w:rsidRPr="00784E0D" w:rsidTr="00784E0D">
        <w:trPr>
          <w:trHeight w:val="300"/>
          <w:jc w:val="center"/>
        </w:trPr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34 Financijski rashodi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63.631,15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237.200,00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90.253,88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141,84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38,05</w:t>
            </w:r>
          </w:p>
        </w:tc>
      </w:tr>
      <w:tr w:rsidR="00784E0D" w:rsidRPr="00784E0D" w:rsidTr="00784E0D">
        <w:trPr>
          <w:trHeight w:val="300"/>
          <w:jc w:val="center"/>
        </w:trPr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35 Subvencije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71.363,45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193.477,00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77.257,23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108,26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39,93</w:t>
            </w:r>
          </w:p>
        </w:tc>
      </w:tr>
      <w:tr w:rsidR="00784E0D" w:rsidRPr="00784E0D" w:rsidTr="00784E0D">
        <w:trPr>
          <w:trHeight w:val="600"/>
          <w:jc w:val="center"/>
        </w:trPr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36 Pomoći dane u inozemstvo i unutar općeg proračuna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2.512.908,11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2.899.274,00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2.830.117,22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112,62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97,61</w:t>
            </w:r>
          </w:p>
        </w:tc>
      </w:tr>
      <w:tr w:rsidR="00784E0D" w:rsidRPr="00784E0D" w:rsidTr="00784E0D">
        <w:trPr>
          <w:trHeight w:val="600"/>
          <w:jc w:val="center"/>
        </w:trPr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37 Naknade građanima i kućanstvima na temelju osiguranja i druge naknade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19.302,30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59.800,00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67.040,00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347,32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112,11</w:t>
            </w:r>
          </w:p>
        </w:tc>
      </w:tr>
      <w:tr w:rsidR="00784E0D" w:rsidRPr="00784E0D" w:rsidTr="00784E0D">
        <w:trPr>
          <w:trHeight w:val="300"/>
          <w:jc w:val="center"/>
        </w:trPr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38 Ostali rashodi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322.190,39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547.137,00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185.355,24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57,53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33,88</w:t>
            </w:r>
          </w:p>
        </w:tc>
      </w:tr>
      <w:tr w:rsidR="00784E0D" w:rsidRPr="00784E0D" w:rsidTr="00784E0D">
        <w:trPr>
          <w:trHeight w:val="300"/>
          <w:jc w:val="center"/>
        </w:trPr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4 Rashodi za nabavu nefinancijske imovine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2.387.534,03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12.048.967,00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3.684.099,65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154,31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30,58</w:t>
            </w:r>
          </w:p>
        </w:tc>
      </w:tr>
      <w:tr w:rsidR="00784E0D" w:rsidRPr="00784E0D" w:rsidTr="00784E0D">
        <w:trPr>
          <w:trHeight w:val="600"/>
          <w:jc w:val="center"/>
        </w:trPr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 xml:space="preserve">41 Rashodi za nabavu </w:t>
            </w:r>
            <w:proofErr w:type="spellStart"/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2.819.000,00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217.128,74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7,70</w:t>
            </w:r>
          </w:p>
        </w:tc>
      </w:tr>
      <w:tr w:rsidR="00784E0D" w:rsidRPr="00784E0D" w:rsidTr="00784E0D">
        <w:trPr>
          <w:trHeight w:val="600"/>
          <w:jc w:val="center"/>
        </w:trPr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42 Rashodi za nabavu proizvedene dugotrajne imovine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900.417,61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3.605.975,00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1.531.875,81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170,13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42,48</w:t>
            </w:r>
          </w:p>
        </w:tc>
      </w:tr>
      <w:tr w:rsidR="00784E0D" w:rsidRPr="00784E0D" w:rsidTr="00784E0D">
        <w:trPr>
          <w:trHeight w:val="600"/>
          <w:jc w:val="center"/>
        </w:trPr>
        <w:tc>
          <w:tcPr>
            <w:tcW w:w="3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45 Rashodi za dodatna ulaganja na nefinancijskoj imovini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1.487.116,42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5.623.992,00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1.935.095,10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130,12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E0D" w:rsidRPr="00784E0D" w:rsidRDefault="00784E0D" w:rsidP="00784E0D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784E0D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34,41</w:t>
            </w:r>
          </w:p>
        </w:tc>
      </w:tr>
    </w:tbl>
    <w:p w:rsidR="00784E0D" w:rsidRDefault="00784E0D" w:rsidP="001F03F2">
      <w:pPr>
        <w:rPr>
          <w:i/>
          <w:noProof/>
          <w:sz w:val="24"/>
          <w:szCs w:val="24"/>
          <w:lang w:eastAsia="hr-HR"/>
        </w:rPr>
      </w:pPr>
    </w:p>
    <w:p w:rsidR="002D00FE" w:rsidRPr="007B023A" w:rsidRDefault="002D00FE" w:rsidP="002D00FE">
      <w:pPr>
        <w:rPr>
          <w:noProof/>
          <w:sz w:val="24"/>
          <w:szCs w:val="24"/>
          <w:lang w:eastAsia="hr-HR"/>
        </w:rPr>
      </w:pPr>
      <w:r w:rsidRPr="006B3634">
        <w:rPr>
          <w:noProof/>
          <w:sz w:val="24"/>
          <w:szCs w:val="24"/>
          <w:lang w:eastAsia="hr-HR"/>
        </w:rPr>
        <w:t xml:space="preserve">Ukupni rashodi su planirani u iznosu od </w:t>
      </w:r>
      <w:r w:rsidR="006B3634" w:rsidRPr="006B3634">
        <w:rPr>
          <w:noProof/>
          <w:sz w:val="24"/>
          <w:szCs w:val="24"/>
          <w:lang w:eastAsia="hr-HR"/>
        </w:rPr>
        <w:t>64,8</w:t>
      </w:r>
      <w:r w:rsidRPr="006B3634">
        <w:rPr>
          <w:noProof/>
          <w:sz w:val="24"/>
          <w:szCs w:val="24"/>
          <w:lang w:eastAsia="hr-HR"/>
        </w:rPr>
        <w:t xml:space="preserve"> milijuna </w:t>
      </w:r>
      <w:r w:rsidR="003B3D31" w:rsidRPr="006B3634">
        <w:rPr>
          <w:noProof/>
          <w:sz w:val="24"/>
          <w:szCs w:val="24"/>
          <w:lang w:eastAsia="hr-HR"/>
        </w:rPr>
        <w:t>eura</w:t>
      </w:r>
      <w:r w:rsidRPr="006B3634">
        <w:rPr>
          <w:noProof/>
          <w:sz w:val="24"/>
          <w:szCs w:val="24"/>
          <w:lang w:eastAsia="hr-HR"/>
        </w:rPr>
        <w:t xml:space="preserve">, od čega rashodi poslovanja </w:t>
      </w:r>
      <w:r w:rsidR="006B3634" w:rsidRPr="006B3634">
        <w:rPr>
          <w:noProof/>
          <w:sz w:val="24"/>
          <w:szCs w:val="24"/>
          <w:lang w:eastAsia="hr-HR"/>
        </w:rPr>
        <w:t>52,8</w:t>
      </w:r>
      <w:r w:rsidRPr="006B3634">
        <w:rPr>
          <w:noProof/>
          <w:sz w:val="24"/>
          <w:szCs w:val="24"/>
          <w:lang w:eastAsia="hr-HR"/>
        </w:rPr>
        <w:t xml:space="preserve"> milijuna </w:t>
      </w:r>
      <w:r w:rsidR="003B3D31" w:rsidRPr="006B3634">
        <w:rPr>
          <w:noProof/>
          <w:sz w:val="24"/>
          <w:szCs w:val="24"/>
          <w:lang w:eastAsia="hr-HR"/>
        </w:rPr>
        <w:t>eura</w:t>
      </w:r>
      <w:r w:rsidRPr="006B3634">
        <w:rPr>
          <w:noProof/>
          <w:sz w:val="24"/>
          <w:szCs w:val="24"/>
          <w:lang w:eastAsia="hr-HR"/>
        </w:rPr>
        <w:t xml:space="preserve">, a rashodi za nabavu nefinancijske imovine </w:t>
      </w:r>
      <w:r w:rsidR="006B3634" w:rsidRPr="006B3634">
        <w:rPr>
          <w:noProof/>
          <w:sz w:val="24"/>
          <w:szCs w:val="24"/>
          <w:lang w:eastAsia="hr-HR"/>
        </w:rPr>
        <w:t>12,1</w:t>
      </w:r>
      <w:r w:rsidRPr="006B3634">
        <w:rPr>
          <w:noProof/>
          <w:sz w:val="24"/>
          <w:szCs w:val="24"/>
          <w:lang w:eastAsia="hr-HR"/>
        </w:rPr>
        <w:t xml:space="preserve"> milijun </w:t>
      </w:r>
      <w:r w:rsidR="003B3D31" w:rsidRPr="006B3634">
        <w:rPr>
          <w:noProof/>
          <w:sz w:val="24"/>
          <w:szCs w:val="24"/>
          <w:lang w:eastAsia="hr-HR"/>
        </w:rPr>
        <w:t>eura</w:t>
      </w:r>
      <w:r w:rsidRPr="006B3634">
        <w:rPr>
          <w:noProof/>
          <w:sz w:val="24"/>
          <w:szCs w:val="24"/>
          <w:lang w:eastAsia="hr-HR"/>
        </w:rPr>
        <w:t xml:space="preserve">. Izvršenje ukupnih rashoda u </w:t>
      </w:r>
      <w:r w:rsidR="00147D17" w:rsidRPr="006B3634">
        <w:rPr>
          <w:noProof/>
          <w:sz w:val="24"/>
          <w:szCs w:val="24"/>
          <w:lang w:eastAsia="hr-HR"/>
        </w:rPr>
        <w:t>202</w:t>
      </w:r>
      <w:r w:rsidR="006B3634" w:rsidRPr="006B3634">
        <w:rPr>
          <w:noProof/>
          <w:sz w:val="24"/>
          <w:szCs w:val="24"/>
          <w:lang w:eastAsia="hr-HR"/>
        </w:rPr>
        <w:t>4</w:t>
      </w:r>
      <w:r w:rsidRPr="006B3634">
        <w:rPr>
          <w:noProof/>
          <w:sz w:val="24"/>
          <w:szCs w:val="24"/>
          <w:lang w:eastAsia="hr-HR"/>
        </w:rPr>
        <w:t>. godin</w:t>
      </w:r>
      <w:r w:rsidR="009F68BD" w:rsidRPr="006B3634">
        <w:rPr>
          <w:noProof/>
          <w:sz w:val="24"/>
          <w:szCs w:val="24"/>
          <w:lang w:eastAsia="hr-HR"/>
        </w:rPr>
        <w:t>i</w:t>
      </w:r>
      <w:r w:rsidRPr="006B3634">
        <w:rPr>
          <w:noProof/>
          <w:sz w:val="24"/>
          <w:szCs w:val="24"/>
          <w:lang w:eastAsia="hr-HR"/>
        </w:rPr>
        <w:t xml:space="preserve"> iznosi </w:t>
      </w:r>
      <w:r w:rsidR="006B3634" w:rsidRPr="006B3634">
        <w:rPr>
          <w:noProof/>
          <w:sz w:val="24"/>
          <w:szCs w:val="24"/>
          <w:lang w:eastAsia="hr-HR"/>
        </w:rPr>
        <w:t>51</w:t>
      </w:r>
      <w:r w:rsidRPr="006B3634">
        <w:rPr>
          <w:noProof/>
          <w:sz w:val="24"/>
          <w:szCs w:val="24"/>
          <w:lang w:eastAsia="hr-HR"/>
        </w:rPr>
        <w:t xml:space="preserve"> milijun </w:t>
      </w:r>
      <w:r w:rsidR="003B3D31" w:rsidRPr="006B3634">
        <w:rPr>
          <w:noProof/>
          <w:sz w:val="24"/>
          <w:szCs w:val="24"/>
          <w:lang w:eastAsia="hr-HR"/>
        </w:rPr>
        <w:t>eura</w:t>
      </w:r>
      <w:r w:rsidRPr="006B3634">
        <w:rPr>
          <w:noProof/>
          <w:sz w:val="24"/>
          <w:szCs w:val="24"/>
          <w:lang w:eastAsia="hr-HR"/>
        </w:rPr>
        <w:t xml:space="preserve"> što čini </w:t>
      </w:r>
      <w:r w:rsidR="006B3634" w:rsidRPr="006B3634">
        <w:rPr>
          <w:noProof/>
          <w:sz w:val="24"/>
          <w:szCs w:val="24"/>
          <w:lang w:eastAsia="hr-HR"/>
        </w:rPr>
        <w:t>78,6</w:t>
      </w:r>
      <w:r w:rsidRPr="006B3634">
        <w:rPr>
          <w:noProof/>
          <w:sz w:val="24"/>
          <w:szCs w:val="24"/>
          <w:lang w:eastAsia="hr-HR"/>
        </w:rPr>
        <w:t>% planiranih rashoda za 202</w:t>
      </w:r>
      <w:r w:rsidR="006B3634" w:rsidRPr="006B3634">
        <w:rPr>
          <w:noProof/>
          <w:sz w:val="24"/>
          <w:szCs w:val="24"/>
          <w:lang w:eastAsia="hr-HR"/>
        </w:rPr>
        <w:t>4</w:t>
      </w:r>
      <w:r w:rsidRPr="006B3634">
        <w:rPr>
          <w:noProof/>
          <w:sz w:val="24"/>
          <w:szCs w:val="24"/>
          <w:lang w:eastAsia="hr-HR"/>
        </w:rPr>
        <w:t xml:space="preserve">. godinu. Rashodi poslovanja izvršeni su u iznosu od </w:t>
      </w:r>
      <w:r w:rsidR="006B3634" w:rsidRPr="006B3634">
        <w:rPr>
          <w:noProof/>
          <w:sz w:val="24"/>
          <w:szCs w:val="24"/>
          <w:lang w:eastAsia="hr-HR"/>
        </w:rPr>
        <w:t>47,3</w:t>
      </w:r>
      <w:r w:rsidRPr="006B3634">
        <w:rPr>
          <w:noProof/>
          <w:sz w:val="24"/>
          <w:szCs w:val="24"/>
          <w:lang w:eastAsia="hr-HR"/>
        </w:rPr>
        <w:t xml:space="preserve"> milijuna </w:t>
      </w:r>
      <w:r w:rsidR="00BA7788" w:rsidRPr="006B3634">
        <w:rPr>
          <w:noProof/>
          <w:sz w:val="24"/>
          <w:szCs w:val="24"/>
          <w:lang w:eastAsia="hr-HR"/>
        </w:rPr>
        <w:t>eura</w:t>
      </w:r>
      <w:r w:rsidRPr="006B3634">
        <w:rPr>
          <w:noProof/>
          <w:sz w:val="24"/>
          <w:szCs w:val="24"/>
          <w:lang w:eastAsia="hr-HR"/>
        </w:rPr>
        <w:t xml:space="preserve">, odnosno </w:t>
      </w:r>
      <w:r w:rsidR="009F68BD" w:rsidRPr="006B3634">
        <w:rPr>
          <w:noProof/>
          <w:sz w:val="24"/>
          <w:szCs w:val="24"/>
          <w:lang w:eastAsia="hr-HR"/>
        </w:rPr>
        <w:t>8</w:t>
      </w:r>
      <w:r w:rsidR="006B3634" w:rsidRPr="006B3634">
        <w:rPr>
          <w:noProof/>
          <w:sz w:val="24"/>
          <w:szCs w:val="24"/>
          <w:lang w:eastAsia="hr-HR"/>
        </w:rPr>
        <w:t>9</w:t>
      </w:r>
      <w:r w:rsidR="009F68BD" w:rsidRPr="006B3634">
        <w:rPr>
          <w:noProof/>
          <w:sz w:val="24"/>
          <w:szCs w:val="24"/>
          <w:lang w:eastAsia="hr-HR"/>
        </w:rPr>
        <w:t>,</w:t>
      </w:r>
      <w:r w:rsidR="006B3634" w:rsidRPr="006B3634">
        <w:rPr>
          <w:noProof/>
          <w:sz w:val="24"/>
          <w:szCs w:val="24"/>
          <w:lang w:eastAsia="hr-HR"/>
        </w:rPr>
        <w:t>6</w:t>
      </w:r>
      <w:r w:rsidRPr="006B3634">
        <w:rPr>
          <w:noProof/>
          <w:sz w:val="24"/>
          <w:szCs w:val="24"/>
          <w:lang w:eastAsia="hr-HR"/>
        </w:rPr>
        <w:t xml:space="preserve">% planiranih rashoda poslovanja, dok su rashodi za nabavu </w:t>
      </w:r>
      <w:r w:rsidRPr="006B3634">
        <w:rPr>
          <w:noProof/>
          <w:sz w:val="24"/>
          <w:szCs w:val="24"/>
          <w:lang w:eastAsia="hr-HR"/>
        </w:rPr>
        <w:lastRenderedPageBreak/>
        <w:t xml:space="preserve">nefinancijske imovine izvršeni u iznosu od </w:t>
      </w:r>
      <w:r w:rsidR="006B3634" w:rsidRPr="006B3634">
        <w:rPr>
          <w:noProof/>
          <w:sz w:val="24"/>
          <w:szCs w:val="24"/>
          <w:lang w:eastAsia="hr-HR"/>
        </w:rPr>
        <w:t>3,7</w:t>
      </w:r>
      <w:r w:rsidRPr="006B3634">
        <w:rPr>
          <w:noProof/>
          <w:sz w:val="24"/>
          <w:szCs w:val="24"/>
          <w:lang w:eastAsia="hr-HR"/>
        </w:rPr>
        <w:t xml:space="preserve"> milijun</w:t>
      </w:r>
      <w:r w:rsidR="00E358E6" w:rsidRPr="006B3634">
        <w:rPr>
          <w:noProof/>
          <w:sz w:val="24"/>
          <w:szCs w:val="24"/>
          <w:lang w:eastAsia="hr-HR"/>
        </w:rPr>
        <w:t>a</w:t>
      </w:r>
      <w:r w:rsidRPr="006B3634">
        <w:rPr>
          <w:noProof/>
          <w:sz w:val="24"/>
          <w:szCs w:val="24"/>
          <w:lang w:eastAsia="hr-HR"/>
        </w:rPr>
        <w:t xml:space="preserve"> </w:t>
      </w:r>
      <w:r w:rsidR="00BA7788" w:rsidRPr="006B3634">
        <w:rPr>
          <w:noProof/>
          <w:sz w:val="24"/>
          <w:szCs w:val="24"/>
          <w:lang w:eastAsia="hr-HR"/>
        </w:rPr>
        <w:t>eura</w:t>
      </w:r>
      <w:r w:rsidRPr="006B3634">
        <w:rPr>
          <w:noProof/>
          <w:sz w:val="24"/>
          <w:szCs w:val="24"/>
          <w:lang w:eastAsia="hr-HR"/>
        </w:rPr>
        <w:t xml:space="preserve">, odnosno </w:t>
      </w:r>
      <w:r w:rsidR="00E358E6" w:rsidRPr="006B3634">
        <w:rPr>
          <w:noProof/>
          <w:sz w:val="24"/>
          <w:szCs w:val="24"/>
          <w:lang w:eastAsia="hr-HR"/>
        </w:rPr>
        <w:t>3</w:t>
      </w:r>
      <w:r w:rsidR="006B3634" w:rsidRPr="006B3634">
        <w:rPr>
          <w:noProof/>
          <w:sz w:val="24"/>
          <w:szCs w:val="24"/>
          <w:lang w:eastAsia="hr-HR"/>
        </w:rPr>
        <w:t>0,6</w:t>
      </w:r>
      <w:r w:rsidRPr="006B3634">
        <w:rPr>
          <w:noProof/>
          <w:sz w:val="24"/>
          <w:szCs w:val="24"/>
          <w:lang w:eastAsia="hr-HR"/>
        </w:rPr>
        <w:t>% plana.</w:t>
      </w:r>
      <w:r w:rsidR="00A86916" w:rsidRPr="006B3634">
        <w:rPr>
          <w:noProof/>
          <w:sz w:val="24"/>
          <w:szCs w:val="24"/>
          <w:lang w:eastAsia="hr-HR"/>
        </w:rPr>
        <w:t xml:space="preserve"> U odnosu </w:t>
      </w:r>
      <w:r w:rsidR="00E358E6" w:rsidRPr="006B3634">
        <w:rPr>
          <w:noProof/>
          <w:sz w:val="24"/>
          <w:szCs w:val="24"/>
          <w:lang w:eastAsia="hr-HR"/>
        </w:rPr>
        <w:t xml:space="preserve">na </w:t>
      </w:r>
      <w:r w:rsidR="00A86916" w:rsidRPr="006B3634">
        <w:rPr>
          <w:noProof/>
          <w:sz w:val="24"/>
          <w:szCs w:val="24"/>
          <w:lang w:eastAsia="hr-HR"/>
        </w:rPr>
        <w:t>prethodn</w:t>
      </w:r>
      <w:r w:rsidR="00E358E6" w:rsidRPr="006B3634">
        <w:rPr>
          <w:noProof/>
          <w:sz w:val="24"/>
          <w:szCs w:val="24"/>
          <w:lang w:eastAsia="hr-HR"/>
        </w:rPr>
        <w:t>u</w:t>
      </w:r>
      <w:r w:rsidR="00A86916" w:rsidRPr="006B3634">
        <w:rPr>
          <w:noProof/>
          <w:sz w:val="24"/>
          <w:szCs w:val="24"/>
          <w:lang w:eastAsia="hr-HR"/>
        </w:rPr>
        <w:t xml:space="preserve"> godin</w:t>
      </w:r>
      <w:r w:rsidR="00E358E6" w:rsidRPr="006B3634">
        <w:rPr>
          <w:noProof/>
          <w:sz w:val="24"/>
          <w:szCs w:val="24"/>
          <w:lang w:eastAsia="hr-HR"/>
        </w:rPr>
        <w:t>u</w:t>
      </w:r>
      <w:r w:rsidR="00A86916" w:rsidRPr="006B3634">
        <w:rPr>
          <w:noProof/>
          <w:sz w:val="24"/>
          <w:szCs w:val="24"/>
          <w:lang w:eastAsia="hr-HR"/>
        </w:rPr>
        <w:t xml:space="preserve"> rashodi poslovanja bilježe </w:t>
      </w:r>
      <w:r w:rsidR="00147D17" w:rsidRPr="006B3634">
        <w:rPr>
          <w:noProof/>
          <w:sz w:val="24"/>
          <w:szCs w:val="24"/>
          <w:lang w:eastAsia="hr-HR"/>
        </w:rPr>
        <w:t>povećanje</w:t>
      </w:r>
      <w:r w:rsidR="00A86916" w:rsidRPr="006B3634">
        <w:rPr>
          <w:noProof/>
          <w:sz w:val="24"/>
          <w:szCs w:val="24"/>
          <w:lang w:eastAsia="hr-HR"/>
        </w:rPr>
        <w:t xml:space="preserve"> od </w:t>
      </w:r>
      <w:r w:rsidR="006B3634" w:rsidRPr="006B3634">
        <w:rPr>
          <w:noProof/>
          <w:sz w:val="24"/>
          <w:szCs w:val="24"/>
          <w:lang w:eastAsia="hr-HR"/>
        </w:rPr>
        <w:t>21,7</w:t>
      </w:r>
      <w:r w:rsidR="00A86916" w:rsidRPr="006B3634">
        <w:rPr>
          <w:noProof/>
          <w:sz w:val="24"/>
          <w:szCs w:val="24"/>
          <w:lang w:eastAsia="hr-HR"/>
        </w:rPr>
        <w:t>%, a rashodi za na</w:t>
      </w:r>
      <w:r w:rsidR="00BA7788" w:rsidRPr="006B3634">
        <w:rPr>
          <w:noProof/>
          <w:sz w:val="24"/>
          <w:szCs w:val="24"/>
          <w:lang w:eastAsia="hr-HR"/>
        </w:rPr>
        <w:t xml:space="preserve">bavu nefinancijske </w:t>
      </w:r>
      <w:r w:rsidR="005F5871">
        <w:rPr>
          <w:noProof/>
          <w:sz w:val="24"/>
          <w:szCs w:val="24"/>
          <w:lang w:eastAsia="hr-HR"/>
        </w:rPr>
        <w:t>imo</w:t>
      </w:r>
      <w:r w:rsidR="00287794">
        <w:rPr>
          <w:noProof/>
          <w:sz w:val="24"/>
          <w:szCs w:val="24"/>
          <w:lang w:eastAsia="hr-HR"/>
        </w:rPr>
        <w:t>v</w:t>
      </w:r>
      <w:r w:rsidR="005F5871">
        <w:rPr>
          <w:noProof/>
          <w:sz w:val="24"/>
          <w:szCs w:val="24"/>
          <w:lang w:eastAsia="hr-HR"/>
        </w:rPr>
        <w:t xml:space="preserve">ine </w:t>
      </w:r>
      <w:r w:rsidR="006B3634" w:rsidRPr="006B3634">
        <w:rPr>
          <w:noProof/>
          <w:sz w:val="24"/>
          <w:szCs w:val="24"/>
          <w:lang w:eastAsia="hr-HR"/>
        </w:rPr>
        <w:t xml:space="preserve">povećanje </w:t>
      </w:r>
      <w:r w:rsidR="00E358E6" w:rsidRPr="007B023A">
        <w:rPr>
          <w:noProof/>
          <w:sz w:val="24"/>
          <w:szCs w:val="24"/>
          <w:lang w:eastAsia="hr-HR"/>
        </w:rPr>
        <w:t xml:space="preserve">od </w:t>
      </w:r>
      <w:r w:rsidR="006B3634" w:rsidRPr="007B023A">
        <w:rPr>
          <w:noProof/>
          <w:sz w:val="24"/>
          <w:szCs w:val="24"/>
          <w:lang w:eastAsia="hr-HR"/>
        </w:rPr>
        <w:t>54,3</w:t>
      </w:r>
      <w:r w:rsidR="00E358E6" w:rsidRPr="007B023A">
        <w:rPr>
          <w:noProof/>
          <w:sz w:val="24"/>
          <w:szCs w:val="24"/>
          <w:lang w:eastAsia="hr-HR"/>
        </w:rPr>
        <w:t>%</w:t>
      </w:r>
      <w:r w:rsidR="00A86916" w:rsidRPr="007B023A">
        <w:rPr>
          <w:noProof/>
          <w:sz w:val="24"/>
          <w:szCs w:val="24"/>
          <w:lang w:eastAsia="hr-HR"/>
        </w:rPr>
        <w:t>.</w:t>
      </w:r>
    </w:p>
    <w:p w:rsidR="00C31CF8" w:rsidRPr="007F3CB6" w:rsidRDefault="0090453E" w:rsidP="001F03F2">
      <w:pPr>
        <w:rPr>
          <w:noProof/>
          <w:sz w:val="24"/>
          <w:szCs w:val="24"/>
          <w:lang w:eastAsia="hr-HR"/>
        </w:rPr>
      </w:pPr>
      <w:r w:rsidRPr="007B023A">
        <w:rPr>
          <w:noProof/>
          <w:sz w:val="24"/>
          <w:szCs w:val="24"/>
          <w:lang w:eastAsia="hr-HR"/>
        </w:rPr>
        <w:t>Unutar kategorije rashoda poslovanja r</w:t>
      </w:r>
      <w:r w:rsidR="001F03F2" w:rsidRPr="007B023A">
        <w:rPr>
          <w:noProof/>
          <w:sz w:val="24"/>
          <w:szCs w:val="24"/>
          <w:lang w:eastAsia="hr-HR"/>
        </w:rPr>
        <w:t xml:space="preserve">ashodi </w:t>
      </w:r>
      <w:r w:rsidR="005F6FA1" w:rsidRPr="007B023A">
        <w:rPr>
          <w:noProof/>
          <w:sz w:val="24"/>
          <w:szCs w:val="24"/>
          <w:lang w:eastAsia="hr-HR"/>
        </w:rPr>
        <w:t>z</w:t>
      </w:r>
      <w:r w:rsidR="001F03F2" w:rsidRPr="007B023A">
        <w:rPr>
          <w:noProof/>
          <w:sz w:val="24"/>
          <w:szCs w:val="24"/>
          <w:lang w:eastAsia="hr-HR"/>
        </w:rPr>
        <w:t>a</w:t>
      </w:r>
      <w:r w:rsidR="005F6FA1" w:rsidRPr="007B023A">
        <w:rPr>
          <w:noProof/>
          <w:sz w:val="24"/>
          <w:szCs w:val="24"/>
          <w:lang w:eastAsia="hr-HR"/>
        </w:rPr>
        <w:t xml:space="preserve"> zaposlene u 202</w:t>
      </w:r>
      <w:r w:rsidR="00C31CF8" w:rsidRPr="007B023A">
        <w:rPr>
          <w:noProof/>
          <w:sz w:val="24"/>
          <w:szCs w:val="24"/>
          <w:lang w:eastAsia="hr-HR"/>
        </w:rPr>
        <w:t>4</w:t>
      </w:r>
      <w:r w:rsidR="005F6FA1" w:rsidRPr="007B023A">
        <w:rPr>
          <w:noProof/>
          <w:sz w:val="24"/>
          <w:szCs w:val="24"/>
          <w:lang w:eastAsia="hr-HR"/>
        </w:rPr>
        <w:t xml:space="preserve">. godini izvršeni su u iznosu od </w:t>
      </w:r>
      <w:r w:rsidR="00E358E6" w:rsidRPr="007B023A">
        <w:rPr>
          <w:noProof/>
          <w:sz w:val="24"/>
          <w:szCs w:val="24"/>
          <w:lang w:eastAsia="hr-HR"/>
        </w:rPr>
        <w:t>2</w:t>
      </w:r>
      <w:r w:rsidR="004A1EE0" w:rsidRPr="007B023A">
        <w:rPr>
          <w:noProof/>
          <w:sz w:val="24"/>
          <w:szCs w:val="24"/>
          <w:lang w:eastAsia="hr-HR"/>
        </w:rPr>
        <w:t>4,4</w:t>
      </w:r>
      <w:r w:rsidR="005F6FA1" w:rsidRPr="007B023A">
        <w:rPr>
          <w:noProof/>
          <w:sz w:val="24"/>
          <w:szCs w:val="24"/>
          <w:lang w:eastAsia="hr-HR"/>
        </w:rPr>
        <w:t xml:space="preserve"> milijuna </w:t>
      </w:r>
      <w:r w:rsidR="00576ED3" w:rsidRPr="007B023A">
        <w:rPr>
          <w:noProof/>
          <w:sz w:val="24"/>
          <w:szCs w:val="24"/>
          <w:lang w:eastAsia="hr-HR"/>
        </w:rPr>
        <w:t>eura</w:t>
      </w:r>
      <w:r w:rsidR="005F6FA1" w:rsidRPr="007B023A">
        <w:rPr>
          <w:noProof/>
          <w:sz w:val="24"/>
          <w:szCs w:val="24"/>
          <w:lang w:eastAsia="hr-HR"/>
        </w:rPr>
        <w:t xml:space="preserve"> što predstavlja </w:t>
      </w:r>
      <w:r w:rsidR="004A1EE0" w:rsidRPr="007B023A">
        <w:rPr>
          <w:noProof/>
          <w:sz w:val="24"/>
          <w:szCs w:val="24"/>
          <w:lang w:eastAsia="hr-HR"/>
        </w:rPr>
        <w:t>88,2</w:t>
      </w:r>
      <w:r w:rsidR="005F6FA1" w:rsidRPr="007B023A">
        <w:rPr>
          <w:noProof/>
          <w:sz w:val="24"/>
          <w:szCs w:val="24"/>
          <w:lang w:eastAsia="hr-HR"/>
        </w:rPr>
        <w:t xml:space="preserve">% </w:t>
      </w:r>
      <w:r w:rsidR="007D5C67" w:rsidRPr="007B023A">
        <w:rPr>
          <w:noProof/>
          <w:sz w:val="24"/>
          <w:szCs w:val="24"/>
          <w:lang w:eastAsia="hr-HR"/>
        </w:rPr>
        <w:t>planirani</w:t>
      </w:r>
      <w:r w:rsidR="00A109B5" w:rsidRPr="007B023A">
        <w:rPr>
          <w:noProof/>
          <w:sz w:val="24"/>
          <w:szCs w:val="24"/>
          <w:lang w:eastAsia="hr-HR"/>
        </w:rPr>
        <w:t xml:space="preserve">h rashoda za zaposlene, a </w:t>
      </w:r>
      <w:r w:rsidR="007D5C67" w:rsidRPr="007B023A">
        <w:rPr>
          <w:noProof/>
          <w:sz w:val="24"/>
          <w:szCs w:val="24"/>
          <w:lang w:eastAsia="hr-HR"/>
        </w:rPr>
        <w:t xml:space="preserve">materijalni rashodi u iznosu od </w:t>
      </w:r>
      <w:r w:rsidR="00E358E6" w:rsidRPr="007B023A">
        <w:rPr>
          <w:noProof/>
          <w:sz w:val="24"/>
          <w:szCs w:val="24"/>
          <w:lang w:eastAsia="hr-HR"/>
        </w:rPr>
        <w:t>1</w:t>
      </w:r>
      <w:r w:rsidR="004A1EE0" w:rsidRPr="007B023A">
        <w:rPr>
          <w:noProof/>
          <w:sz w:val="24"/>
          <w:szCs w:val="24"/>
          <w:lang w:eastAsia="hr-HR"/>
        </w:rPr>
        <w:t>9</w:t>
      </w:r>
      <w:r w:rsidR="00E358E6" w:rsidRPr="007B023A">
        <w:rPr>
          <w:noProof/>
          <w:sz w:val="24"/>
          <w:szCs w:val="24"/>
          <w:lang w:eastAsia="hr-HR"/>
        </w:rPr>
        <w:t>,7</w:t>
      </w:r>
      <w:r w:rsidR="007D5C67" w:rsidRPr="007B023A">
        <w:rPr>
          <w:noProof/>
          <w:sz w:val="24"/>
          <w:szCs w:val="24"/>
          <w:lang w:eastAsia="hr-HR"/>
        </w:rPr>
        <w:t xml:space="preserve"> milijuna </w:t>
      </w:r>
      <w:r w:rsidR="00576ED3" w:rsidRPr="007B023A">
        <w:rPr>
          <w:noProof/>
          <w:sz w:val="24"/>
          <w:szCs w:val="24"/>
          <w:lang w:eastAsia="hr-HR"/>
        </w:rPr>
        <w:t>eura</w:t>
      </w:r>
      <w:r w:rsidR="007D5C67" w:rsidRPr="007B023A">
        <w:rPr>
          <w:noProof/>
          <w:sz w:val="24"/>
          <w:szCs w:val="24"/>
          <w:lang w:eastAsia="hr-HR"/>
        </w:rPr>
        <w:t xml:space="preserve"> odnosno </w:t>
      </w:r>
      <w:r w:rsidR="004A1EE0" w:rsidRPr="007B023A">
        <w:rPr>
          <w:noProof/>
          <w:sz w:val="24"/>
          <w:szCs w:val="24"/>
          <w:lang w:eastAsia="hr-HR"/>
        </w:rPr>
        <w:t>92,8</w:t>
      </w:r>
      <w:r w:rsidR="007D5C67" w:rsidRPr="007B023A">
        <w:rPr>
          <w:noProof/>
          <w:sz w:val="24"/>
          <w:szCs w:val="24"/>
          <w:lang w:eastAsia="hr-HR"/>
        </w:rPr>
        <w:t xml:space="preserve">% plana. U iznosu od </w:t>
      </w:r>
      <w:r w:rsidR="00E358E6" w:rsidRPr="007B023A">
        <w:rPr>
          <w:noProof/>
          <w:sz w:val="24"/>
          <w:szCs w:val="24"/>
          <w:lang w:eastAsia="hr-HR"/>
        </w:rPr>
        <w:t>2,</w:t>
      </w:r>
      <w:r w:rsidR="004A1EE0" w:rsidRPr="007B023A">
        <w:rPr>
          <w:noProof/>
          <w:sz w:val="24"/>
          <w:szCs w:val="24"/>
          <w:lang w:eastAsia="hr-HR"/>
        </w:rPr>
        <w:t>8</w:t>
      </w:r>
      <w:r w:rsidR="00E358E6" w:rsidRPr="007B023A">
        <w:rPr>
          <w:noProof/>
          <w:sz w:val="24"/>
          <w:szCs w:val="24"/>
          <w:lang w:eastAsia="hr-HR"/>
        </w:rPr>
        <w:t xml:space="preserve"> milijuna </w:t>
      </w:r>
      <w:r w:rsidR="001A0B18" w:rsidRPr="007B023A">
        <w:rPr>
          <w:noProof/>
          <w:sz w:val="24"/>
          <w:szCs w:val="24"/>
          <w:lang w:eastAsia="hr-HR"/>
        </w:rPr>
        <w:t>eura</w:t>
      </w:r>
      <w:r w:rsidR="007D5C67" w:rsidRPr="007B023A">
        <w:rPr>
          <w:noProof/>
          <w:sz w:val="24"/>
          <w:szCs w:val="24"/>
          <w:lang w:eastAsia="hr-HR"/>
        </w:rPr>
        <w:t xml:space="preserve"> odnosno </w:t>
      </w:r>
      <w:r w:rsidR="00E358E6" w:rsidRPr="007B023A">
        <w:rPr>
          <w:noProof/>
          <w:sz w:val="24"/>
          <w:szCs w:val="24"/>
          <w:lang w:eastAsia="hr-HR"/>
        </w:rPr>
        <w:t>9</w:t>
      </w:r>
      <w:r w:rsidR="004A1EE0" w:rsidRPr="007B023A">
        <w:rPr>
          <w:noProof/>
          <w:sz w:val="24"/>
          <w:szCs w:val="24"/>
          <w:lang w:eastAsia="hr-HR"/>
        </w:rPr>
        <w:t>7,6</w:t>
      </w:r>
      <w:r w:rsidR="007D5C67" w:rsidRPr="007B023A">
        <w:rPr>
          <w:noProof/>
          <w:sz w:val="24"/>
          <w:szCs w:val="24"/>
          <w:lang w:eastAsia="hr-HR"/>
        </w:rPr>
        <w:t>% plana izvršene su pomoći</w:t>
      </w:r>
      <w:r w:rsidR="00A109B5" w:rsidRPr="007B023A">
        <w:rPr>
          <w:noProof/>
          <w:sz w:val="24"/>
          <w:szCs w:val="24"/>
          <w:lang w:eastAsia="hr-HR"/>
        </w:rPr>
        <w:t xml:space="preserve">. Financijski rashodi su izvršeni u iznosu od </w:t>
      </w:r>
      <w:r w:rsidR="004A1EE0" w:rsidRPr="007B023A">
        <w:rPr>
          <w:noProof/>
          <w:sz w:val="24"/>
          <w:szCs w:val="24"/>
          <w:lang w:eastAsia="hr-HR"/>
        </w:rPr>
        <w:t>90,3</w:t>
      </w:r>
      <w:r w:rsidR="00A109B5" w:rsidRPr="007B023A">
        <w:rPr>
          <w:noProof/>
          <w:sz w:val="24"/>
          <w:szCs w:val="24"/>
          <w:lang w:eastAsia="hr-HR"/>
        </w:rPr>
        <w:t xml:space="preserve"> tisuć</w:t>
      </w:r>
      <w:r w:rsidR="004A1EE0" w:rsidRPr="007B023A">
        <w:rPr>
          <w:noProof/>
          <w:sz w:val="24"/>
          <w:szCs w:val="24"/>
          <w:lang w:eastAsia="hr-HR"/>
        </w:rPr>
        <w:t>e</w:t>
      </w:r>
      <w:r w:rsidR="00A109B5" w:rsidRPr="007B023A">
        <w:rPr>
          <w:noProof/>
          <w:sz w:val="24"/>
          <w:szCs w:val="24"/>
          <w:lang w:eastAsia="hr-HR"/>
        </w:rPr>
        <w:t xml:space="preserve"> </w:t>
      </w:r>
      <w:r w:rsidR="001A0B18" w:rsidRPr="007B023A">
        <w:rPr>
          <w:noProof/>
          <w:sz w:val="24"/>
          <w:szCs w:val="24"/>
          <w:lang w:eastAsia="hr-HR"/>
        </w:rPr>
        <w:t>eura</w:t>
      </w:r>
      <w:r w:rsidR="00A109B5" w:rsidRPr="007B023A">
        <w:rPr>
          <w:noProof/>
          <w:sz w:val="24"/>
          <w:szCs w:val="24"/>
          <w:lang w:eastAsia="hr-HR"/>
        </w:rPr>
        <w:t xml:space="preserve"> (</w:t>
      </w:r>
      <w:r w:rsidR="004A1EE0" w:rsidRPr="007B023A">
        <w:rPr>
          <w:noProof/>
          <w:sz w:val="24"/>
          <w:szCs w:val="24"/>
          <w:lang w:eastAsia="hr-HR"/>
        </w:rPr>
        <w:t>38,1</w:t>
      </w:r>
      <w:r w:rsidR="00A109B5" w:rsidRPr="007B023A">
        <w:rPr>
          <w:noProof/>
          <w:sz w:val="24"/>
          <w:szCs w:val="24"/>
          <w:lang w:eastAsia="hr-HR"/>
        </w:rPr>
        <w:t>% plana)</w:t>
      </w:r>
      <w:r w:rsidR="004A1EE0" w:rsidRPr="007B023A">
        <w:rPr>
          <w:noProof/>
          <w:sz w:val="24"/>
          <w:szCs w:val="24"/>
          <w:lang w:eastAsia="hr-HR"/>
        </w:rPr>
        <w:t xml:space="preserve">, </w:t>
      </w:r>
      <w:r w:rsidR="00C31CF8" w:rsidRPr="007B023A">
        <w:rPr>
          <w:noProof/>
          <w:sz w:val="24"/>
          <w:szCs w:val="24"/>
          <w:lang w:eastAsia="hr-HR"/>
        </w:rPr>
        <w:t>s</w:t>
      </w:r>
      <w:r w:rsidR="004A1EE0" w:rsidRPr="007B023A">
        <w:rPr>
          <w:noProof/>
          <w:sz w:val="24"/>
          <w:szCs w:val="24"/>
          <w:lang w:eastAsia="hr-HR"/>
        </w:rPr>
        <w:t xml:space="preserve">ubvencije u iznosu od </w:t>
      </w:r>
      <w:r w:rsidR="00C31CF8" w:rsidRPr="007B023A">
        <w:rPr>
          <w:noProof/>
          <w:sz w:val="24"/>
          <w:szCs w:val="24"/>
          <w:lang w:eastAsia="hr-HR"/>
        </w:rPr>
        <w:t>77,3</w:t>
      </w:r>
      <w:r w:rsidR="004A1EE0" w:rsidRPr="007B023A">
        <w:rPr>
          <w:noProof/>
          <w:sz w:val="24"/>
          <w:szCs w:val="24"/>
          <w:lang w:eastAsia="hr-HR"/>
        </w:rPr>
        <w:t xml:space="preserve"> tisuće </w:t>
      </w:r>
      <w:r w:rsidR="004A1EE0" w:rsidRPr="007F3CB6">
        <w:rPr>
          <w:noProof/>
          <w:sz w:val="24"/>
          <w:szCs w:val="24"/>
          <w:lang w:eastAsia="hr-HR"/>
        </w:rPr>
        <w:t>eura (</w:t>
      </w:r>
      <w:r w:rsidR="00C31CF8" w:rsidRPr="007F3CB6">
        <w:rPr>
          <w:noProof/>
          <w:sz w:val="24"/>
          <w:szCs w:val="24"/>
          <w:lang w:eastAsia="hr-HR"/>
        </w:rPr>
        <w:t>39,9% plana</w:t>
      </w:r>
      <w:r w:rsidR="004A1EE0" w:rsidRPr="007F3CB6">
        <w:rPr>
          <w:noProof/>
          <w:sz w:val="24"/>
          <w:szCs w:val="24"/>
          <w:lang w:eastAsia="hr-HR"/>
        </w:rPr>
        <w:t>)</w:t>
      </w:r>
      <w:r w:rsidR="00C31CF8" w:rsidRPr="007F3CB6">
        <w:rPr>
          <w:noProof/>
          <w:sz w:val="24"/>
          <w:szCs w:val="24"/>
          <w:lang w:eastAsia="hr-HR"/>
        </w:rPr>
        <w:t xml:space="preserve"> te </w:t>
      </w:r>
      <w:r w:rsidR="004A1EE0" w:rsidRPr="007F3CB6">
        <w:rPr>
          <w:noProof/>
          <w:sz w:val="24"/>
          <w:szCs w:val="24"/>
          <w:lang w:eastAsia="hr-HR"/>
        </w:rPr>
        <w:t xml:space="preserve">ostali rashodi u iznosu od </w:t>
      </w:r>
      <w:r w:rsidR="00C31CF8" w:rsidRPr="007F3CB6">
        <w:rPr>
          <w:noProof/>
          <w:sz w:val="24"/>
          <w:szCs w:val="24"/>
          <w:lang w:eastAsia="hr-HR"/>
        </w:rPr>
        <w:t xml:space="preserve">185,4 </w:t>
      </w:r>
      <w:r w:rsidR="004A1EE0" w:rsidRPr="007F3CB6">
        <w:rPr>
          <w:noProof/>
          <w:sz w:val="24"/>
          <w:szCs w:val="24"/>
          <w:lang w:eastAsia="hr-HR"/>
        </w:rPr>
        <w:t>tisuće eura (</w:t>
      </w:r>
      <w:r w:rsidR="00C31CF8" w:rsidRPr="007F3CB6">
        <w:rPr>
          <w:noProof/>
          <w:sz w:val="24"/>
          <w:szCs w:val="24"/>
          <w:lang w:eastAsia="hr-HR"/>
        </w:rPr>
        <w:t>33,</w:t>
      </w:r>
      <w:r w:rsidR="007B023A" w:rsidRPr="007F3CB6">
        <w:rPr>
          <w:noProof/>
          <w:sz w:val="24"/>
          <w:szCs w:val="24"/>
          <w:lang w:eastAsia="hr-HR"/>
        </w:rPr>
        <w:t>9</w:t>
      </w:r>
      <w:r w:rsidR="00C31CF8" w:rsidRPr="007F3CB6">
        <w:rPr>
          <w:noProof/>
          <w:sz w:val="24"/>
          <w:szCs w:val="24"/>
          <w:lang w:eastAsia="hr-HR"/>
        </w:rPr>
        <w:t>% plana</w:t>
      </w:r>
      <w:r w:rsidR="004A1EE0" w:rsidRPr="007F3CB6">
        <w:rPr>
          <w:noProof/>
          <w:sz w:val="24"/>
          <w:szCs w:val="24"/>
          <w:lang w:eastAsia="hr-HR"/>
        </w:rPr>
        <w:t>).</w:t>
      </w:r>
      <w:r w:rsidR="00C31CF8" w:rsidRPr="007F3CB6">
        <w:rPr>
          <w:noProof/>
          <w:sz w:val="24"/>
          <w:szCs w:val="24"/>
          <w:lang w:eastAsia="hr-HR"/>
        </w:rPr>
        <w:t xml:space="preserve"> </w:t>
      </w:r>
      <w:r w:rsidR="004A1EE0" w:rsidRPr="007F3CB6">
        <w:rPr>
          <w:noProof/>
          <w:sz w:val="24"/>
          <w:szCs w:val="24"/>
          <w:lang w:eastAsia="hr-HR"/>
        </w:rPr>
        <w:t>N</w:t>
      </w:r>
      <w:r w:rsidR="007F3AAD" w:rsidRPr="007F3CB6">
        <w:rPr>
          <w:noProof/>
          <w:sz w:val="24"/>
          <w:szCs w:val="24"/>
          <w:lang w:eastAsia="hr-HR"/>
        </w:rPr>
        <w:t xml:space="preserve">aknade građanima i kućanstvima </w:t>
      </w:r>
      <w:r w:rsidR="004A1EE0" w:rsidRPr="007F3CB6">
        <w:rPr>
          <w:noProof/>
          <w:sz w:val="24"/>
          <w:szCs w:val="24"/>
          <w:lang w:eastAsia="hr-HR"/>
        </w:rPr>
        <w:t xml:space="preserve">izvršene su </w:t>
      </w:r>
      <w:r w:rsidR="007F3AAD" w:rsidRPr="007F3CB6">
        <w:rPr>
          <w:noProof/>
          <w:sz w:val="24"/>
          <w:szCs w:val="24"/>
          <w:lang w:eastAsia="hr-HR"/>
        </w:rPr>
        <w:t xml:space="preserve">u iznosu od </w:t>
      </w:r>
      <w:r w:rsidR="004A1EE0" w:rsidRPr="007F3CB6">
        <w:rPr>
          <w:noProof/>
          <w:sz w:val="24"/>
          <w:szCs w:val="24"/>
          <w:lang w:eastAsia="hr-HR"/>
        </w:rPr>
        <w:t xml:space="preserve">67 </w:t>
      </w:r>
      <w:r w:rsidR="007F3AAD" w:rsidRPr="007F3CB6">
        <w:rPr>
          <w:noProof/>
          <w:sz w:val="24"/>
          <w:szCs w:val="24"/>
          <w:lang w:eastAsia="hr-HR"/>
        </w:rPr>
        <w:t>tisuć</w:t>
      </w:r>
      <w:r w:rsidR="004A1EE0" w:rsidRPr="007F3CB6">
        <w:rPr>
          <w:noProof/>
          <w:sz w:val="24"/>
          <w:szCs w:val="24"/>
          <w:lang w:eastAsia="hr-HR"/>
        </w:rPr>
        <w:t>a</w:t>
      </w:r>
      <w:r w:rsidR="007F3AAD" w:rsidRPr="007F3CB6">
        <w:rPr>
          <w:noProof/>
          <w:sz w:val="24"/>
          <w:szCs w:val="24"/>
          <w:lang w:eastAsia="hr-HR"/>
        </w:rPr>
        <w:t xml:space="preserve"> eura (</w:t>
      </w:r>
      <w:r w:rsidR="004A1EE0" w:rsidRPr="007F3CB6">
        <w:rPr>
          <w:noProof/>
          <w:sz w:val="24"/>
          <w:szCs w:val="24"/>
          <w:lang w:eastAsia="hr-HR"/>
        </w:rPr>
        <w:t>prekoračenje plana od 7,2 tisuće eura)</w:t>
      </w:r>
      <w:r w:rsidR="00C31CF8" w:rsidRPr="007F3CB6">
        <w:rPr>
          <w:noProof/>
          <w:sz w:val="24"/>
          <w:szCs w:val="24"/>
          <w:lang w:eastAsia="hr-HR"/>
        </w:rPr>
        <w:t>.</w:t>
      </w:r>
    </w:p>
    <w:p w:rsidR="00587E97" w:rsidRPr="00450DCB" w:rsidRDefault="0090453E" w:rsidP="001F03F2">
      <w:pPr>
        <w:rPr>
          <w:noProof/>
          <w:sz w:val="24"/>
          <w:szCs w:val="24"/>
          <w:lang w:eastAsia="hr-HR"/>
        </w:rPr>
      </w:pPr>
      <w:r w:rsidRPr="007F3CB6">
        <w:rPr>
          <w:noProof/>
          <w:sz w:val="24"/>
          <w:szCs w:val="24"/>
          <w:lang w:eastAsia="hr-HR"/>
        </w:rPr>
        <w:t>Unutar kategorije rashoda za nabavu nefinancijske imovine u 202</w:t>
      </w:r>
      <w:r w:rsidR="00014817" w:rsidRPr="007F3CB6">
        <w:rPr>
          <w:noProof/>
          <w:sz w:val="24"/>
          <w:szCs w:val="24"/>
          <w:lang w:eastAsia="hr-HR"/>
        </w:rPr>
        <w:t>4</w:t>
      </w:r>
      <w:r w:rsidRPr="007F3CB6">
        <w:rPr>
          <w:noProof/>
          <w:sz w:val="24"/>
          <w:szCs w:val="24"/>
          <w:lang w:eastAsia="hr-HR"/>
        </w:rPr>
        <w:t>. godin</w:t>
      </w:r>
      <w:r w:rsidR="00E358E6" w:rsidRPr="007F3CB6">
        <w:rPr>
          <w:noProof/>
          <w:sz w:val="24"/>
          <w:szCs w:val="24"/>
          <w:lang w:eastAsia="hr-HR"/>
        </w:rPr>
        <w:t>i</w:t>
      </w:r>
      <w:r w:rsidRPr="007F3CB6">
        <w:rPr>
          <w:noProof/>
          <w:sz w:val="24"/>
          <w:szCs w:val="24"/>
          <w:lang w:eastAsia="hr-HR"/>
        </w:rPr>
        <w:t xml:space="preserve"> iznos od </w:t>
      </w:r>
      <w:r w:rsidR="00014817" w:rsidRPr="007F3CB6">
        <w:rPr>
          <w:noProof/>
          <w:sz w:val="24"/>
          <w:szCs w:val="24"/>
          <w:lang w:eastAsia="hr-HR"/>
        </w:rPr>
        <w:t>1,9</w:t>
      </w:r>
      <w:r w:rsidRPr="007F3CB6">
        <w:rPr>
          <w:noProof/>
          <w:sz w:val="24"/>
          <w:szCs w:val="24"/>
          <w:lang w:eastAsia="hr-HR"/>
        </w:rPr>
        <w:t xml:space="preserve"> </w:t>
      </w:r>
      <w:r w:rsidR="00E358E6" w:rsidRPr="007F3CB6">
        <w:rPr>
          <w:noProof/>
          <w:sz w:val="24"/>
          <w:szCs w:val="24"/>
          <w:lang w:eastAsia="hr-HR"/>
        </w:rPr>
        <w:t>milijun</w:t>
      </w:r>
      <w:r w:rsidR="0016688B" w:rsidRPr="007F3CB6">
        <w:rPr>
          <w:noProof/>
          <w:sz w:val="24"/>
          <w:szCs w:val="24"/>
          <w:lang w:eastAsia="hr-HR"/>
        </w:rPr>
        <w:t>a</w:t>
      </w:r>
      <w:r w:rsidRPr="007F3CB6">
        <w:rPr>
          <w:noProof/>
          <w:sz w:val="24"/>
          <w:szCs w:val="24"/>
          <w:lang w:eastAsia="hr-HR"/>
        </w:rPr>
        <w:t xml:space="preserve"> </w:t>
      </w:r>
      <w:r w:rsidR="00587E97" w:rsidRPr="007F3CB6">
        <w:rPr>
          <w:noProof/>
          <w:sz w:val="24"/>
          <w:szCs w:val="24"/>
          <w:lang w:eastAsia="hr-HR"/>
        </w:rPr>
        <w:t>eura</w:t>
      </w:r>
      <w:r w:rsidRPr="007F3CB6">
        <w:rPr>
          <w:noProof/>
          <w:sz w:val="24"/>
          <w:szCs w:val="24"/>
          <w:lang w:eastAsia="hr-HR"/>
        </w:rPr>
        <w:t xml:space="preserve"> odnosno </w:t>
      </w:r>
      <w:r w:rsidR="00014817" w:rsidRPr="007F3CB6">
        <w:rPr>
          <w:noProof/>
          <w:sz w:val="24"/>
          <w:szCs w:val="24"/>
          <w:lang w:eastAsia="hr-HR"/>
        </w:rPr>
        <w:t>52,5</w:t>
      </w:r>
      <w:r w:rsidRPr="007F3CB6">
        <w:rPr>
          <w:noProof/>
          <w:sz w:val="24"/>
          <w:szCs w:val="24"/>
          <w:lang w:eastAsia="hr-HR"/>
        </w:rPr>
        <w:t>% odnosi se na rashode za dodatna ulaganja na nefinancijskoj imovini</w:t>
      </w:r>
      <w:r w:rsidR="00587E97" w:rsidRPr="007F3CB6">
        <w:rPr>
          <w:noProof/>
          <w:sz w:val="24"/>
          <w:szCs w:val="24"/>
          <w:lang w:eastAsia="hr-HR"/>
        </w:rPr>
        <w:t xml:space="preserve"> </w:t>
      </w:r>
      <w:r w:rsidR="005D21FB" w:rsidRPr="007F3CB6">
        <w:rPr>
          <w:noProof/>
          <w:sz w:val="24"/>
          <w:szCs w:val="24"/>
          <w:lang w:eastAsia="hr-HR"/>
        </w:rPr>
        <w:t xml:space="preserve">s postotkom izvršenja plana od </w:t>
      </w:r>
      <w:r w:rsidR="00014817" w:rsidRPr="007F3CB6">
        <w:rPr>
          <w:noProof/>
          <w:sz w:val="24"/>
          <w:szCs w:val="24"/>
          <w:lang w:eastAsia="hr-HR"/>
        </w:rPr>
        <w:t>34,4</w:t>
      </w:r>
      <w:r w:rsidR="005D21FB" w:rsidRPr="007F3CB6">
        <w:rPr>
          <w:noProof/>
          <w:sz w:val="24"/>
          <w:szCs w:val="24"/>
          <w:lang w:eastAsia="hr-HR"/>
        </w:rPr>
        <w:t>%</w:t>
      </w:r>
      <w:r w:rsidR="00781E19" w:rsidRPr="007F3CB6">
        <w:rPr>
          <w:noProof/>
          <w:sz w:val="24"/>
          <w:szCs w:val="24"/>
          <w:lang w:eastAsia="hr-HR"/>
        </w:rPr>
        <w:t xml:space="preserve"> (od toga 1,</w:t>
      </w:r>
      <w:r w:rsidR="00450DCB" w:rsidRPr="007F3CB6">
        <w:rPr>
          <w:noProof/>
          <w:sz w:val="24"/>
          <w:szCs w:val="24"/>
          <w:lang w:eastAsia="hr-HR"/>
        </w:rPr>
        <w:t>9</w:t>
      </w:r>
      <w:r w:rsidR="00781E19" w:rsidRPr="007F3CB6">
        <w:rPr>
          <w:noProof/>
          <w:sz w:val="24"/>
          <w:szCs w:val="24"/>
          <w:lang w:eastAsia="hr-HR"/>
        </w:rPr>
        <w:t xml:space="preserve"> mil</w:t>
      </w:r>
      <w:r w:rsidR="00D7431B" w:rsidRPr="007F3CB6">
        <w:rPr>
          <w:noProof/>
          <w:sz w:val="24"/>
          <w:szCs w:val="24"/>
          <w:lang w:eastAsia="hr-HR"/>
        </w:rPr>
        <w:t>ijuna eura</w:t>
      </w:r>
      <w:r w:rsidR="00781E19" w:rsidRPr="007F3CB6">
        <w:rPr>
          <w:noProof/>
          <w:sz w:val="24"/>
          <w:szCs w:val="24"/>
          <w:lang w:eastAsia="hr-HR"/>
        </w:rPr>
        <w:t xml:space="preserve"> ili </w:t>
      </w:r>
      <w:r w:rsidR="00450DCB" w:rsidRPr="007F3CB6">
        <w:rPr>
          <w:noProof/>
          <w:sz w:val="24"/>
          <w:szCs w:val="24"/>
          <w:lang w:eastAsia="hr-HR"/>
        </w:rPr>
        <w:t>99,3</w:t>
      </w:r>
      <w:r w:rsidR="00781E19" w:rsidRPr="007F3CB6">
        <w:rPr>
          <w:noProof/>
          <w:sz w:val="24"/>
          <w:szCs w:val="24"/>
          <w:lang w:eastAsia="hr-HR"/>
        </w:rPr>
        <w:t>% iznose dodatna ulaganja na građevinskim objektima)</w:t>
      </w:r>
      <w:r w:rsidR="00450DCB" w:rsidRPr="007F3CB6">
        <w:rPr>
          <w:noProof/>
          <w:sz w:val="24"/>
          <w:szCs w:val="24"/>
          <w:lang w:eastAsia="hr-HR"/>
        </w:rPr>
        <w:t xml:space="preserve"> dok se 1,5 milijuna eura </w:t>
      </w:r>
      <w:r w:rsidR="00C41868" w:rsidRPr="007F3CB6">
        <w:rPr>
          <w:noProof/>
          <w:sz w:val="24"/>
          <w:szCs w:val="24"/>
          <w:lang w:eastAsia="hr-HR"/>
        </w:rPr>
        <w:t xml:space="preserve">odnosno 41,6% </w:t>
      </w:r>
      <w:r w:rsidR="009149B7" w:rsidRPr="007F3CB6">
        <w:rPr>
          <w:noProof/>
          <w:sz w:val="24"/>
          <w:szCs w:val="24"/>
          <w:lang w:eastAsia="hr-HR"/>
        </w:rPr>
        <w:t>odnosi na rashode za nabavu proizvedene dugotrajne imovine s postotkom izvršenja plana od 42,5%</w:t>
      </w:r>
      <w:r w:rsidR="00D7431B" w:rsidRPr="007F3CB6">
        <w:rPr>
          <w:noProof/>
          <w:sz w:val="24"/>
          <w:szCs w:val="24"/>
          <w:lang w:eastAsia="hr-HR"/>
        </w:rPr>
        <w:t xml:space="preserve"> (od toga 1,2 milijuna eura ili 74,8% iznose ulaganja u prijevozna sredstva u pomorskom i riječnom prometu – kupnja brodova)</w:t>
      </w:r>
      <w:r w:rsidRPr="007F3CB6">
        <w:rPr>
          <w:noProof/>
          <w:sz w:val="24"/>
          <w:szCs w:val="24"/>
          <w:lang w:eastAsia="hr-HR"/>
        </w:rPr>
        <w:t xml:space="preserve">. </w:t>
      </w:r>
      <w:r w:rsidRPr="00450DCB">
        <w:rPr>
          <w:noProof/>
          <w:sz w:val="24"/>
          <w:szCs w:val="24"/>
          <w:lang w:eastAsia="hr-HR"/>
        </w:rPr>
        <w:t xml:space="preserve">U iznosu od </w:t>
      </w:r>
      <w:r w:rsidR="00450DCB" w:rsidRPr="00450DCB">
        <w:rPr>
          <w:noProof/>
          <w:sz w:val="24"/>
          <w:szCs w:val="24"/>
          <w:lang w:eastAsia="hr-HR"/>
        </w:rPr>
        <w:t>217,1</w:t>
      </w:r>
      <w:r w:rsidRPr="00450DCB">
        <w:rPr>
          <w:noProof/>
          <w:sz w:val="24"/>
          <w:szCs w:val="24"/>
          <w:lang w:eastAsia="hr-HR"/>
        </w:rPr>
        <w:t xml:space="preserve"> </w:t>
      </w:r>
      <w:r w:rsidR="00587E97" w:rsidRPr="00450DCB">
        <w:rPr>
          <w:noProof/>
          <w:sz w:val="24"/>
          <w:szCs w:val="24"/>
          <w:lang w:eastAsia="hr-HR"/>
        </w:rPr>
        <w:t>tisuć</w:t>
      </w:r>
      <w:r w:rsidR="00450DCB" w:rsidRPr="00450DCB">
        <w:rPr>
          <w:noProof/>
          <w:sz w:val="24"/>
          <w:szCs w:val="24"/>
          <w:lang w:eastAsia="hr-HR"/>
        </w:rPr>
        <w:t>u</w:t>
      </w:r>
      <w:r w:rsidR="00587E97" w:rsidRPr="00450DCB">
        <w:rPr>
          <w:noProof/>
          <w:sz w:val="24"/>
          <w:szCs w:val="24"/>
          <w:lang w:eastAsia="hr-HR"/>
        </w:rPr>
        <w:t xml:space="preserve"> eura</w:t>
      </w:r>
      <w:r w:rsidRPr="00450DCB">
        <w:rPr>
          <w:noProof/>
          <w:sz w:val="24"/>
          <w:szCs w:val="24"/>
          <w:lang w:eastAsia="hr-HR"/>
        </w:rPr>
        <w:t xml:space="preserve"> ili </w:t>
      </w:r>
      <w:r w:rsidR="00450DCB" w:rsidRPr="00450DCB">
        <w:rPr>
          <w:noProof/>
          <w:sz w:val="24"/>
          <w:szCs w:val="24"/>
          <w:lang w:eastAsia="hr-HR"/>
        </w:rPr>
        <w:t>7,7</w:t>
      </w:r>
      <w:r w:rsidRPr="00450DCB">
        <w:rPr>
          <w:noProof/>
          <w:sz w:val="24"/>
          <w:szCs w:val="24"/>
          <w:lang w:eastAsia="hr-HR"/>
        </w:rPr>
        <w:t xml:space="preserve">% plana izvršeni su rashodi za nabavu </w:t>
      </w:r>
      <w:r w:rsidR="00450DCB" w:rsidRPr="00450DCB">
        <w:rPr>
          <w:noProof/>
          <w:sz w:val="24"/>
          <w:szCs w:val="24"/>
          <w:lang w:eastAsia="hr-HR"/>
        </w:rPr>
        <w:t>ne</w:t>
      </w:r>
      <w:r w:rsidRPr="00450DCB">
        <w:rPr>
          <w:noProof/>
          <w:sz w:val="24"/>
          <w:szCs w:val="24"/>
          <w:lang w:eastAsia="hr-HR"/>
        </w:rPr>
        <w:t>proizvedene dugotrajne imovine</w:t>
      </w:r>
      <w:r w:rsidR="00587E97" w:rsidRPr="00450DCB">
        <w:rPr>
          <w:noProof/>
          <w:sz w:val="24"/>
          <w:szCs w:val="24"/>
          <w:lang w:eastAsia="hr-HR"/>
        </w:rPr>
        <w:t xml:space="preserve">. </w:t>
      </w:r>
    </w:p>
    <w:p w:rsidR="005A4613" w:rsidRPr="000244D6" w:rsidRDefault="003D4203" w:rsidP="003D4203">
      <w:pPr>
        <w:rPr>
          <w:noProof/>
          <w:color w:val="C00000"/>
          <w:sz w:val="24"/>
          <w:szCs w:val="24"/>
          <w:lang w:eastAsia="hr-HR"/>
        </w:rPr>
      </w:pPr>
      <w:r w:rsidRPr="000244D6">
        <w:rPr>
          <w:noProof/>
          <w:color w:val="C00000"/>
          <w:sz w:val="24"/>
          <w:szCs w:val="24"/>
          <w:lang w:eastAsia="hr-HR"/>
        </w:rPr>
        <w:t xml:space="preserve"> </w:t>
      </w:r>
    </w:p>
    <w:p w:rsidR="003D4203" w:rsidRPr="002C43D0" w:rsidRDefault="002F143E" w:rsidP="003D4203">
      <w:pPr>
        <w:rPr>
          <w:i/>
          <w:noProof/>
          <w:sz w:val="24"/>
          <w:szCs w:val="24"/>
          <w:lang w:eastAsia="hr-HR"/>
        </w:rPr>
      </w:pPr>
      <w:r w:rsidRPr="002C43D0">
        <w:rPr>
          <w:i/>
          <w:noProof/>
          <w:sz w:val="24"/>
          <w:szCs w:val="24"/>
          <w:lang w:eastAsia="hr-HR"/>
        </w:rPr>
        <w:t xml:space="preserve">Tablica </w:t>
      </w:r>
      <w:r w:rsidR="008C22F3" w:rsidRPr="002C43D0">
        <w:rPr>
          <w:i/>
          <w:noProof/>
          <w:sz w:val="24"/>
          <w:szCs w:val="24"/>
          <w:lang w:eastAsia="hr-HR"/>
        </w:rPr>
        <w:t>4</w:t>
      </w:r>
      <w:r w:rsidRPr="002C43D0">
        <w:rPr>
          <w:i/>
          <w:noProof/>
          <w:sz w:val="24"/>
          <w:szCs w:val="24"/>
          <w:lang w:eastAsia="hr-HR"/>
        </w:rPr>
        <w:t xml:space="preserve">. </w:t>
      </w:r>
      <w:r w:rsidR="003D4203" w:rsidRPr="002C43D0">
        <w:rPr>
          <w:i/>
          <w:noProof/>
          <w:sz w:val="24"/>
          <w:szCs w:val="24"/>
          <w:lang w:eastAsia="hr-HR"/>
        </w:rPr>
        <w:t>Rashodi p</w:t>
      </w:r>
      <w:r w:rsidR="002F2FFD" w:rsidRPr="002C43D0">
        <w:rPr>
          <w:i/>
          <w:noProof/>
          <w:sz w:val="24"/>
          <w:szCs w:val="24"/>
          <w:lang w:eastAsia="hr-HR"/>
        </w:rPr>
        <w:t>rema</w:t>
      </w:r>
      <w:r w:rsidR="003D4203" w:rsidRPr="002C43D0">
        <w:rPr>
          <w:i/>
          <w:noProof/>
          <w:sz w:val="24"/>
          <w:szCs w:val="24"/>
          <w:lang w:eastAsia="hr-HR"/>
        </w:rPr>
        <w:t xml:space="preserve"> izvorima financiranja</w:t>
      </w:r>
    </w:p>
    <w:tbl>
      <w:tblPr>
        <w:tblW w:w="9998" w:type="dxa"/>
        <w:jc w:val="center"/>
        <w:tblLook w:val="04A0" w:firstRow="1" w:lastRow="0" w:firstColumn="1" w:lastColumn="0" w:noHBand="0" w:noVBand="1"/>
      </w:tblPr>
      <w:tblGrid>
        <w:gridCol w:w="3896"/>
        <w:gridCol w:w="1400"/>
        <w:gridCol w:w="1400"/>
        <w:gridCol w:w="1400"/>
        <w:gridCol w:w="951"/>
        <w:gridCol w:w="951"/>
      </w:tblGrid>
      <w:tr w:rsidR="002C514F" w:rsidRPr="002C514F" w:rsidTr="002C514F">
        <w:trPr>
          <w:trHeight w:val="900"/>
          <w:jc w:val="center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BROJČANA OZNAKA I NAZIV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OSTVARENJE 2023.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PLAN 2024.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OSTVARENJE 2024.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INDEKS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INDEKS</w:t>
            </w:r>
          </w:p>
        </w:tc>
      </w:tr>
      <w:tr w:rsidR="002C514F" w:rsidRPr="002C514F" w:rsidTr="002C514F">
        <w:trPr>
          <w:trHeight w:val="240"/>
          <w:jc w:val="center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5=4/2*100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6=4/3*100</w:t>
            </w:r>
          </w:p>
        </w:tc>
      </w:tr>
      <w:tr w:rsidR="002C514F" w:rsidRPr="002C514F" w:rsidTr="002C514F">
        <w:trPr>
          <w:trHeight w:val="300"/>
          <w:jc w:val="center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sz w:val="16"/>
                <w:szCs w:val="16"/>
                <w:lang w:val="hr-HR" w:eastAsia="hr-HR"/>
              </w:rPr>
              <w:t>UKUPNO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sz w:val="16"/>
                <w:szCs w:val="16"/>
                <w:lang w:val="hr-HR" w:eastAsia="hr-HR"/>
              </w:rPr>
              <w:t>41.250.353,47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sz w:val="16"/>
                <w:szCs w:val="16"/>
                <w:lang w:val="hr-HR" w:eastAsia="hr-HR"/>
              </w:rPr>
              <w:t>64.818.080,00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sz w:val="16"/>
                <w:szCs w:val="16"/>
                <w:lang w:val="hr-HR" w:eastAsia="hr-HR"/>
              </w:rPr>
              <w:t>50.974.925,44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sz w:val="16"/>
                <w:szCs w:val="16"/>
                <w:lang w:val="hr-HR" w:eastAsia="hr-HR"/>
              </w:rPr>
              <w:t>123,57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sz w:val="16"/>
                <w:szCs w:val="16"/>
                <w:lang w:val="hr-HR" w:eastAsia="hr-HR"/>
              </w:rPr>
              <w:t>78,64</w:t>
            </w:r>
          </w:p>
        </w:tc>
      </w:tr>
      <w:tr w:rsidR="002C514F" w:rsidRPr="002C514F" w:rsidTr="002C514F">
        <w:trPr>
          <w:trHeight w:val="300"/>
          <w:jc w:val="center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ind w:firstLineChars="300" w:firstLine="48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Izvor: 3 Vlastiti prihodi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21.718.939,26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27.110.182,00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25.541.843,43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117,60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94,21</w:t>
            </w:r>
          </w:p>
        </w:tc>
      </w:tr>
      <w:tr w:rsidR="002C514F" w:rsidRPr="002C514F" w:rsidTr="002C514F">
        <w:trPr>
          <w:trHeight w:val="300"/>
          <w:jc w:val="center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ind w:firstLineChars="300" w:firstLine="48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Izvor: 4 Prihodi posebne namjene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19.385.394,27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37.707.898,00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25.433.082,01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131,20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67,45</w:t>
            </w:r>
          </w:p>
        </w:tc>
      </w:tr>
      <w:tr w:rsidR="002C514F" w:rsidRPr="002C514F" w:rsidTr="002C514F">
        <w:trPr>
          <w:trHeight w:val="300"/>
          <w:jc w:val="center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ind w:firstLineChars="300" w:firstLine="48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Izvor: 5 Pomoći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125.923,69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2C514F" w:rsidRPr="002C514F" w:rsidTr="002C514F">
        <w:trPr>
          <w:trHeight w:val="300"/>
          <w:jc w:val="center"/>
        </w:trPr>
        <w:tc>
          <w:tcPr>
            <w:tcW w:w="3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ind w:firstLineChars="300" w:firstLine="48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Izvor: 6 Donacije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20.096,25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2C514F" w:rsidRDefault="002C514F" w:rsidP="002C514F">
            <w:pPr>
              <w:overflowPunct/>
              <w:autoSpaceDE/>
              <w:autoSpaceDN/>
              <w:adjustRightInd/>
              <w:spacing w:after="0"/>
              <w:ind w:firstLineChars="100" w:firstLine="160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2C514F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</w:tbl>
    <w:p w:rsidR="002C514F" w:rsidRDefault="002C514F" w:rsidP="003D4203">
      <w:pPr>
        <w:rPr>
          <w:i/>
          <w:noProof/>
          <w:color w:val="C00000"/>
          <w:sz w:val="24"/>
          <w:szCs w:val="24"/>
          <w:lang w:eastAsia="hr-HR"/>
        </w:rPr>
      </w:pPr>
    </w:p>
    <w:p w:rsidR="003D4203" w:rsidRPr="002C43D0" w:rsidRDefault="003D4203" w:rsidP="003D4203">
      <w:pPr>
        <w:rPr>
          <w:noProof/>
          <w:sz w:val="24"/>
          <w:szCs w:val="24"/>
          <w:lang w:eastAsia="hr-HR"/>
        </w:rPr>
      </w:pPr>
      <w:r w:rsidRPr="002C43D0">
        <w:rPr>
          <w:noProof/>
          <w:sz w:val="24"/>
          <w:szCs w:val="24"/>
          <w:lang w:eastAsia="hr-HR"/>
        </w:rPr>
        <w:t xml:space="preserve">Od ukupno izvršenih rashoda u iznosu od </w:t>
      </w:r>
      <w:r w:rsidR="002C514F" w:rsidRPr="002C43D0">
        <w:rPr>
          <w:noProof/>
          <w:sz w:val="24"/>
          <w:szCs w:val="24"/>
          <w:lang w:eastAsia="hr-HR"/>
        </w:rPr>
        <w:t>51</w:t>
      </w:r>
      <w:r w:rsidR="004C0C0B" w:rsidRPr="002C43D0">
        <w:rPr>
          <w:noProof/>
          <w:sz w:val="24"/>
          <w:szCs w:val="24"/>
          <w:lang w:eastAsia="hr-HR"/>
        </w:rPr>
        <w:t xml:space="preserve"> milijun</w:t>
      </w:r>
      <w:r w:rsidRPr="002C43D0">
        <w:rPr>
          <w:noProof/>
          <w:sz w:val="24"/>
          <w:szCs w:val="24"/>
          <w:lang w:eastAsia="hr-HR"/>
        </w:rPr>
        <w:t xml:space="preserve"> </w:t>
      </w:r>
      <w:r w:rsidR="008C4D2D" w:rsidRPr="002C43D0">
        <w:rPr>
          <w:noProof/>
          <w:sz w:val="24"/>
          <w:szCs w:val="24"/>
          <w:lang w:eastAsia="hr-HR"/>
        </w:rPr>
        <w:t>eura</w:t>
      </w:r>
      <w:r w:rsidRPr="002C43D0">
        <w:rPr>
          <w:noProof/>
          <w:sz w:val="24"/>
          <w:szCs w:val="24"/>
          <w:lang w:eastAsia="hr-HR"/>
        </w:rPr>
        <w:t xml:space="preserve"> u </w:t>
      </w:r>
      <w:r w:rsidR="004C0C0B" w:rsidRPr="002C43D0">
        <w:rPr>
          <w:noProof/>
          <w:sz w:val="24"/>
          <w:szCs w:val="24"/>
          <w:lang w:eastAsia="hr-HR"/>
        </w:rPr>
        <w:t xml:space="preserve">razdoblju od siječnja do </w:t>
      </w:r>
      <w:r w:rsidR="009F68BD" w:rsidRPr="002C43D0">
        <w:rPr>
          <w:noProof/>
          <w:sz w:val="24"/>
          <w:szCs w:val="24"/>
          <w:lang w:eastAsia="hr-HR"/>
        </w:rPr>
        <w:t>prosinca</w:t>
      </w:r>
      <w:r w:rsidR="004C0C0B" w:rsidRPr="002C43D0">
        <w:rPr>
          <w:noProof/>
          <w:sz w:val="24"/>
          <w:szCs w:val="24"/>
          <w:lang w:eastAsia="hr-HR"/>
        </w:rPr>
        <w:t xml:space="preserve"> </w:t>
      </w:r>
      <w:r w:rsidRPr="002C43D0">
        <w:rPr>
          <w:noProof/>
          <w:sz w:val="24"/>
          <w:szCs w:val="24"/>
          <w:lang w:eastAsia="hr-HR"/>
        </w:rPr>
        <w:t>202</w:t>
      </w:r>
      <w:r w:rsidR="002C514F" w:rsidRPr="002C43D0">
        <w:rPr>
          <w:noProof/>
          <w:sz w:val="24"/>
          <w:szCs w:val="24"/>
          <w:lang w:eastAsia="hr-HR"/>
        </w:rPr>
        <w:t>4</w:t>
      </w:r>
      <w:r w:rsidR="004C0C0B" w:rsidRPr="002C43D0">
        <w:rPr>
          <w:noProof/>
          <w:sz w:val="24"/>
          <w:szCs w:val="24"/>
          <w:lang w:eastAsia="hr-HR"/>
        </w:rPr>
        <w:t>. godine</w:t>
      </w:r>
      <w:r w:rsidRPr="002C43D0">
        <w:rPr>
          <w:noProof/>
          <w:sz w:val="24"/>
          <w:szCs w:val="24"/>
          <w:lang w:eastAsia="hr-HR"/>
        </w:rPr>
        <w:t xml:space="preserve"> iznos od </w:t>
      </w:r>
      <w:r w:rsidR="009F68BD" w:rsidRPr="002C43D0">
        <w:rPr>
          <w:noProof/>
          <w:sz w:val="24"/>
          <w:szCs w:val="24"/>
          <w:lang w:eastAsia="hr-HR"/>
        </w:rPr>
        <w:t>2</w:t>
      </w:r>
      <w:r w:rsidR="002C514F" w:rsidRPr="002C43D0">
        <w:rPr>
          <w:noProof/>
          <w:sz w:val="24"/>
          <w:szCs w:val="24"/>
          <w:lang w:eastAsia="hr-HR"/>
        </w:rPr>
        <w:t>5,5</w:t>
      </w:r>
      <w:r w:rsidRPr="002C43D0">
        <w:rPr>
          <w:noProof/>
          <w:sz w:val="24"/>
          <w:szCs w:val="24"/>
          <w:lang w:eastAsia="hr-HR"/>
        </w:rPr>
        <w:t xml:space="preserve"> milijuna </w:t>
      </w:r>
      <w:r w:rsidR="008C4D2D" w:rsidRPr="002C43D0">
        <w:rPr>
          <w:noProof/>
          <w:sz w:val="24"/>
          <w:szCs w:val="24"/>
          <w:lang w:eastAsia="hr-HR"/>
        </w:rPr>
        <w:t>eura</w:t>
      </w:r>
      <w:r w:rsidRPr="002C43D0">
        <w:rPr>
          <w:noProof/>
          <w:sz w:val="24"/>
          <w:szCs w:val="24"/>
          <w:lang w:eastAsia="hr-HR"/>
        </w:rPr>
        <w:t xml:space="preserve"> financiran je iz izvora financiranja Vlastiti prihodi, dok su </w:t>
      </w:r>
      <w:r w:rsidR="006B59D4" w:rsidRPr="002C43D0">
        <w:rPr>
          <w:noProof/>
          <w:sz w:val="24"/>
          <w:szCs w:val="24"/>
          <w:lang w:eastAsia="hr-HR"/>
        </w:rPr>
        <w:t>rashodi financirani iz izvora financiranja Prihodi za posebne namjene izvršen</w:t>
      </w:r>
      <w:r w:rsidR="00CC0238" w:rsidRPr="002C43D0">
        <w:rPr>
          <w:noProof/>
          <w:sz w:val="24"/>
          <w:szCs w:val="24"/>
          <w:lang w:eastAsia="hr-HR"/>
        </w:rPr>
        <w:t>i</w:t>
      </w:r>
      <w:r w:rsidR="006B59D4" w:rsidRPr="002C43D0">
        <w:rPr>
          <w:noProof/>
          <w:sz w:val="24"/>
          <w:szCs w:val="24"/>
          <w:lang w:eastAsia="hr-HR"/>
        </w:rPr>
        <w:t xml:space="preserve"> u iznosu od </w:t>
      </w:r>
      <w:r w:rsidR="002C514F" w:rsidRPr="002C43D0">
        <w:rPr>
          <w:noProof/>
          <w:sz w:val="24"/>
          <w:szCs w:val="24"/>
          <w:lang w:eastAsia="hr-HR"/>
        </w:rPr>
        <w:t>25,4</w:t>
      </w:r>
      <w:r w:rsidR="006B59D4" w:rsidRPr="002C43D0">
        <w:rPr>
          <w:noProof/>
          <w:sz w:val="24"/>
          <w:szCs w:val="24"/>
          <w:lang w:eastAsia="hr-HR"/>
        </w:rPr>
        <w:t xml:space="preserve"> milijuna </w:t>
      </w:r>
      <w:r w:rsidR="008C4D2D" w:rsidRPr="002C43D0">
        <w:rPr>
          <w:noProof/>
          <w:sz w:val="24"/>
          <w:szCs w:val="24"/>
          <w:lang w:eastAsia="hr-HR"/>
        </w:rPr>
        <w:t>eura</w:t>
      </w:r>
      <w:r w:rsidR="006B59D4" w:rsidRPr="002C43D0">
        <w:rPr>
          <w:noProof/>
          <w:sz w:val="24"/>
          <w:szCs w:val="24"/>
          <w:lang w:eastAsia="hr-HR"/>
        </w:rPr>
        <w:t xml:space="preserve">. Rashodi financirani iz izvora financiranja Pomoći </w:t>
      </w:r>
      <w:r w:rsidR="002C514F" w:rsidRPr="002C43D0">
        <w:rPr>
          <w:noProof/>
          <w:sz w:val="24"/>
          <w:szCs w:val="24"/>
          <w:lang w:eastAsia="hr-HR"/>
        </w:rPr>
        <w:t xml:space="preserve">i Donacije u 2024. godini nisu </w:t>
      </w:r>
      <w:r w:rsidR="006B59D4" w:rsidRPr="002C43D0">
        <w:rPr>
          <w:noProof/>
          <w:sz w:val="24"/>
          <w:szCs w:val="24"/>
          <w:lang w:eastAsia="hr-HR"/>
        </w:rPr>
        <w:t xml:space="preserve">izvršeni </w:t>
      </w:r>
      <w:r w:rsidR="002C514F" w:rsidRPr="002C43D0">
        <w:rPr>
          <w:noProof/>
          <w:sz w:val="24"/>
          <w:szCs w:val="24"/>
          <w:lang w:eastAsia="hr-HR"/>
        </w:rPr>
        <w:t xml:space="preserve">dok </w:t>
      </w:r>
      <w:r w:rsidR="006B59D4" w:rsidRPr="002C43D0">
        <w:rPr>
          <w:noProof/>
          <w:sz w:val="24"/>
          <w:szCs w:val="24"/>
          <w:lang w:eastAsia="hr-HR"/>
        </w:rPr>
        <w:t xml:space="preserve">su </w:t>
      </w:r>
      <w:r w:rsidR="002C514F" w:rsidRPr="002C43D0">
        <w:rPr>
          <w:noProof/>
          <w:sz w:val="24"/>
          <w:szCs w:val="24"/>
          <w:lang w:eastAsia="hr-HR"/>
        </w:rPr>
        <w:t xml:space="preserve">u 2023. godini iz izvora Pomoći izvršeni </w:t>
      </w:r>
      <w:r w:rsidR="006B59D4" w:rsidRPr="002C43D0">
        <w:rPr>
          <w:noProof/>
          <w:sz w:val="24"/>
          <w:szCs w:val="24"/>
          <w:lang w:eastAsia="hr-HR"/>
        </w:rPr>
        <w:t xml:space="preserve">u iznosu od </w:t>
      </w:r>
      <w:r w:rsidR="009F68BD" w:rsidRPr="002C43D0">
        <w:rPr>
          <w:noProof/>
          <w:sz w:val="24"/>
          <w:szCs w:val="24"/>
          <w:lang w:eastAsia="hr-HR"/>
        </w:rPr>
        <w:t>125,9</w:t>
      </w:r>
      <w:r w:rsidR="006B59D4" w:rsidRPr="002C43D0">
        <w:rPr>
          <w:noProof/>
          <w:sz w:val="24"/>
          <w:szCs w:val="24"/>
          <w:lang w:eastAsia="hr-HR"/>
        </w:rPr>
        <w:t xml:space="preserve"> tisuća </w:t>
      </w:r>
      <w:r w:rsidR="008C4D2D" w:rsidRPr="002C43D0">
        <w:rPr>
          <w:noProof/>
          <w:sz w:val="24"/>
          <w:szCs w:val="24"/>
          <w:lang w:eastAsia="hr-HR"/>
        </w:rPr>
        <w:t>eura</w:t>
      </w:r>
      <w:r w:rsidR="009F68BD" w:rsidRPr="002C43D0">
        <w:rPr>
          <w:noProof/>
          <w:sz w:val="24"/>
          <w:szCs w:val="24"/>
          <w:lang w:eastAsia="hr-HR"/>
        </w:rPr>
        <w:t>, a iz izvora Donacije u iznosu od 20,1 tis. eura.</w:t>
      </w:r>
    </w:p>
    <w:p w:rsidR="002F143E" w:rsidRPr="000244D6" w:rsidRDefault="002F143E" w:rsidP="003D4203">
      <w:pPr>
        <w:rPr>
          <w:noProof/>
          <w:color w:val="C00000"/>
          <w:sz w:val="24"/>
          <w:szCs w:val="24"/>
          <w:lang w:eastAsia="hr-HR"/>
        </w:rPr>
      </w:pPr>
    </w:p>
    <w:p w:rsidR="00CA777A" w:rsidRPr="00031611" w:rsidRDefault="002F143E" w:rsidP="003D4203">
      <w:pPr>
        <w:rPr>
          <w:i/>
          <w:noProof/>
          <w:sz w:val="24"/>
          <w:szCs w:val="24"/>
          <w:lang w:eastAsia="hr-HR"/>
        </w:rPr>
      </w:pPr>
      <w:r w:rsidRPr="00031611">
        <w:rPr>
          <w:i/>
          <w:noProof/>
          <w:sz w:val="24"/>
          <w:szCs w:val="24"/>
          <w:lang w:eastAsia="hr-HR"/>
        </w:rPr>
        <w:t xml:space="preserve">Tablica </w:t>
      </w:r>
      <w:r w:rsidR="008C22F3" w:rsidRPr="00031611">
        <w:rPr>
          <w:i/>
          <w:noProof/>
          <w:sz w:val="24"/>
          <w:szCs w:val="24"/>
          <w:lang w:eastAsia="hr-HR"/>
        </w:rPr>
        <w:t>5</w:t>
      </w:r>
      <w:r w:rsidRPr="00031611">
        <w:rPr>
          <w:i/>
          <w:noProof/>
          <w:sz w:val="24"/>
          <w:szCs w:val="24"/>
          <w:lang w:eastAsia="hr-HR"/>
        </w:rPr>
        <w:t xml:space="preserve">. </w:t>
      </w:r>
      <w:r w:rsidR="003D4203" w:rsidRPr="00031611">
        <w:rPr>
          <w:i/>
          <w:noProof/>
          <w:sz w:val="24"/>
          <w:szCs w:val="24"/>
          <w:lang w:eastAsia="hr-HR"/>
        </w:rPr>
        <w:t>Rashodi prema funkcijskoj klasifikaciji</w:t>
      </w:r>
    </w:p>
    <w:tbl>
      <w:tblPr>
        <w:tblW w:w="9992" w:type="dxa"/>
        <w:jc w:val="center"/>
        <w:tblLook w:val="04A0" w:firstRow="1" w:lastRow="0" w:firstColumn="1" w:lastColumn="0" w:noHBand="0" w:noVBand="1"/>
      </w:tblPr>
      <w:tblGrid>
        <w:gridCol w:w="3981"/>
        <w:gridCol w:w="1371"/>
        <w:gridCol w:w="1367"/>
        <w:gridCol w:w="1371"/>
        <w:gridCol w:w="951"/>
        <w:gridCol w:w="951"/>
      </w:tblGrid>
      <w:tr w:rsidR="00031611" w:rsidRPr="00031611" w:rsidTr="00031611">
        <w:trPr>
          <w:trHeight w:val="900"/>
          <w:jc w:val="center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14F" w:rsidRPr="00031611" w:rsidRDefault="002C514F" w:rsidP="002C514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31611">
              <w:rPr>
                <w:rFonts w:ascii="Arial" w:hAnsi="Arial" w:cs="Arial"/>
                <w:sz w:val="16"/>
                <w:szCs w:val="16"/>
                <w:lang w:val="hr-HR" w:eastAsia="hr-HR"/>
              </w:rPr>
              <w:t>BROJČANA OZNAKA I NAZIV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14F" w:rsidRPr="00031611" w:rsidRDefault="002C514F" w:rsidP="002C514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31611">
              <w:rPr>
                <w:rFonts w:ascii="Arial" w:hAnsi="Arial" w:cs="Arial"/>
                <w:sz w:val="16"/>
                <w:szCs w:val="16"/>
                <w:lang w:val="hr-HR" w:eastAsia="hr-HR"/>
              </w:rPr>
              <w:t>OSTVARENJE 2023.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14F" w:rsidRPr="00031611" w:rsidRDefault="002C514F" w:rsidP="002C514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31611">
              <w:rPr>
                <w:rFonts w:ascii="Arial" w:hAnsi="Arial" w:cs="Arial"/>
                <w:sz w:val="16"/>
                <w:szCs w:val="16"/>
                <w:lang w:val="hr-HR" w:eastAsia="hr-HR"/>
              </w:rPr>
              <w:t>PLAN 2024.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14F" w:rsidRPr="00031611" w:rsidRDefault="002C514F" w:rsidP="002C514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31611">
              <w:rPr>
                <w:rFonts w:ascii="Arial" w:hAnsi="Arial" w:cs="Arial"/>
                <w:sz w:val="16"/>
                <w:szCs w:val="16"/>
                <w:lang w:val="hr-HR" w:eastAsia="hr-HR"/>
              </w:rPr>
              <w:t>OSTVARENJE 2024.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14F" w:rsidRPr="00031611" w:rsidRDefault="002C514F" w:rsidP="002C514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31611">
              <w:rPr>
                <w:rFonts w:ascii="Arial" w:hAnsi="Arial" w:cs="Arial"/>
                <w:sz w:val="16"/>
                <w:szCs w:val="16"/>
                <w:lang w:val="hr-HR" w:eastAsia="hr-HR"/>
              </w:rPr>
              <w:t>INDEKS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14F" w:rsidRPr="00031611" w:rsidRDefault="002C514F" w:rsidP="002C514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31611">
              <w:rPr>
                <w:rFonts w:ascii="Arial" w:hAnsi="Arial" w:cs="Arial"/>
                <w:sz w:val="16"/>
                <w:szCs w:val="16"/>
                <w:lang w:val="hr-HR" w:eastAsia="hr-HR"/>
              </w:rPr>
              <w:t>INDEKS</w:t>
            </w:r>
          </w:p>
        </w:tc>
      </w:tr>
      <w:tr w:rsidR="00031611" w:rsidRPr="00031611" w:rsidTr="00031611">
        <w:trPr>
          <w:trHeight w:val="240"/>
          <w:jc w:val="center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031611" w:rsidRDefault="002C514F" w:rsidP="002C514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31611">
              <w:rPr>
                <w:rFonts w:ascii="Arial" w:hAnsi="Arial" w:cs="Arial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031611" w:rsidRDefault="002C514F" w:rsidP="002C514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31611">
              <w:rPr>
                <w:rFonts w:ascii="Arial" w:hAnsi="Arial" w:cs="Arial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031611" w:rsidRDefault="002C514F" w:rsidP="002C514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31611">
              <w:rPr>
                <w:rFonts w:ascii="Arial" w:hAnsi="Arial" w:cs="Arial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031611" w:rsidRDefault="002C514F" w:rsidP="002C514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31611">
              <w:rPr>
                <w:rFonts w:ascii="Arial" w:hAnsi="Arial" w:cs="Arial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031611" w:rsidRDefault="002C514F" w:rsidP="002C514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31611">
              <w:rPr>
                <w:rFonts w:ascii="Arial" w:hAnsi="Arial" w:cs="Arial"/>
                <w:sz w:val="16"/>
                <w:szCs w:val="16"/>
                <w:lang w:val="hr-HR" w:eastAsia="hr-HR"/>
              </w:rPr>
              <w:t>5=4/2*100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031611" w:rsidRDefault="002C514F" w:rsidP="002C514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31611">
              <w:rPr>
                <w:rFonts w:ascii="Arial" w:hAnsi="Arial" w:cs="Arial"/>
                <w:sz w:val="16"/>
                <w:szCs w:val="16"/>
                <w:lang w:val="hr-HR" w:eastAsia="hr-HR"/>
              </w:rPr>
              <w:t>6=4/3*100</w:t>
            </w:r>
          </w:p>
        </w:tc>
      </w:tr>
      <w:tr w:rsidR="00031611" w:rsidRPr="00031611" w:rsidTr="00031611">
        <w:trPr>
          <w:trHeight w:val="300"/>
          <w:jc w:val="center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2C514F" w:rsidRPr="00031611" w:rsidRDefault="002C514F" w:rsidP="002C514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31611">
              <w:rPr>
                <w:rFonts w:ascii="Arial" w:hAnsi="Arial" w:cs="Arial"/>
                <w:sz w:val="16"/>
                <w:szCs w:val="16"/>
                <w:lang w:val="hr-HR" w:eastAsia="hr-HR"/>
              </w:rPr>
              <w:t>UKUPNO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2C514F" w:rsidRPr="00031611" w:rsidRDefault="002C514F" w:rsidP="002C514F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31611">
              <w:rPr>
                <w:rFonts w:ascii="Arial" w:hAnsi="Arial" w:cs="Arial"/>
                <w:sz w:val="16"/>
                <w:szCs w:val="16"/>
                <w:lang w:val="hr-HR" w:eastAsia="hr-HR"/>
              </w:rPr>
              <w:t>41.250.353,47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2C514F" w:rsidRPr="00031611" w:rsidRDefault="002C514F" w:rsidP="002C514F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31611">
              <w:rPr>
                <w:rFonts w:ascii="Arial" w:hAnsi="Arial" w:cs="Arial"/>
                <w:sz w:val="16"/>
                <w:szCs w:val="16"/>
                <w:lang w:val="hr-HR" w:eastAsia="hr-HR"/>
              </w:rPr>
              <w:t>64.818.080,00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2C514F" w:rsidRPr="00031611" w:rsidRDefault="002C514F" w:rsidP="002C514F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31611">
              <w:rPr>
                <w:rFonts w:ascii="Arial" w:hAnsi="Arial" w:cs="Arial"/>
                <w:sz w:val="16"/>
                <w:szCs w:val="16"/>
                <w:lang w:val="hr-HR" w:eastAsia="hr-HR"/>
              </w:rPr>
              <w:t>50.974.925,44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2C514F" w:rsidRPr="00031611" w:rsidRDefault="002C514F" w:rsidP="002C514F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31611">
              <w:rPr>
                <w:rFonts w:ascii="Arial" w:hAnsi="Arial" w:cs="Arial"/>
                <w:sz w:val="16"/>
                <w:szCs w:val="16"/>
                <w:lang w:val="hr-HR" w:eastAsia="hr-HR"/>
              </w:rPr>
              <w:t>123,57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center"/>
            <w:hideMark/>
          </w:tcPr>
          <w:p w:rsidR="002C514F" w:rsidRPr="00031611" w:rsidRDefault="002C514F" w:rsidP="002C514F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31611">
              <w:rPr>
                <w:rFonts w:ascii="Arial" w:hAnsi="Arial" w:cs="Arial"/>
                <w:sz w:val="16"/>
                <w:szCs w:val="16"/>
                <w:lang w:val="hr-HR" w:eastAsia="hr-HR"/>
              </w:rPr>
              <w:t>78,64</w:t>
            </w:r>
          </w:p>
        </w:tc>
      </w:tr>
      <w:tr w:rsidR="00031611" w:rsidRPr="00031611" w:rsidTr="00031611">
        <w:trPr>
          <w:trHeight w:val="300"/>
          <w:jc w:val="center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031611" w:rsidRDefault="002C514F" w:rsidP="002C514F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31611">
              <w:rPr>
                <w:rFonts w:ascii="Arial" w:hAnsi="Arial" w:cs="Arial"/>
                <w:sz w:val="16"/>
                <w:szCs w:val="16"/>
                <w:lang w:val="hr-HR" w:eastAsia="hr-HR"/>
              </w:rPr>
              <w:t>05 ZAŠTITA OKOLIŠA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031611" w:rsidRDefault="002C514F" w:rsidP="002C514F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31611">
              <w:rPr>
                <w:rFonts w:ascii="Arial" w:hAnsi="Arial" w:cs="Arial"/>
                <w:sz w:val="16"/>
                <w:szCs w:val="16"/>
                <w:lang w:val="hr-HR" w:eastAsia="hr-HR"/>
              </w:rPr>
              <w:t>41.250.353,47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031611" w:rsidRDefault="002C514F" w:rsidP="002C514F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31611">
              <w:rPr>
                <w:rFonts w:ascii="Arial" w:hAnsi="Arial" w:cs="Arial"/>
                <w:sz w:val="16"/>
                <w:szCs w:val="16"/>
                <w:lang w:val="hr-HR" w:eastAsia="hr-HR"/>
              </w:rPr>
              <w:t>64.818.080,00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031611" w:rsidRDefault="002C514F" w:rsidP="002C514F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31611">
              <w:rPr>
                <w:rFonts w:ascii="Arial" w:hAnsi="Arial" w:cs="Arial"/>
                <w:sz w:val="16"/>
                <w:szCs w:val="16"/>
                <w:lang w:val="hr-HR" w:eastAsia="hr-HR"/>
              </w:rPr>
              <w:t>50.974.925,44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031611" w:rsidRDefault="002C514F" w:rsidP="002C514F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31611">
              <w:rPr>
                <w:rFonts w:ascii="Arial" w:hAnsi="Arial" w:cs="Arial"/>
                <w:sz w:val="16"/>
                <w:szCs w:val="16"/>
                <w:lang w:val="hr-HR" w:eastAsia="hr-HR"/>
              </w:rPr>
              <w:t>123,57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031611" w:rsidRDefault="002C514F" w:rsidP="002C514F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31611">
              <w:rPr>
                <w:rFonts w:ascii="Arial" w:hAnsi="Arial" w:cs="Arial"/>
                <w:sz w:val="16"/>
                <w:szCs w:val="16"/>
                <w:lang w:val="hr-HR" w:eastAsia="hr-HR"/>
              </w:rPr>
              <w:t>78,64</w:t>
            </w:r>
          </w:p>
        </w:tc>
      </w:tr>
      <w:tr w:rsidR="00031611" w:rsidRPr="00031611" w:rsidTr="00031611">
        <w:trPr>
          <w:trHeight w:val="300"/>
          <w:jc w:val="center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031611" w:rsidRDefault="002C514F" w:rsidP="002C514F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31611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054 Zaštita </w:t>
            </w:r>
            <w:proofErr w:type="spellStart"/>
            <w:r w:rsidRPr="00031611">
              <w:rPr>
                <w:rFonts w:ascii="Arial" w:hAnsi="Arial" w:cs="Arial"/>
                <w:sz w:val="16"/>
                <w:szCs w:val="16"/>
                <w:lang w:val="hr-HR" w:eastAsia="hr-HR"/>
              </w:rPr>
              <w:t>bioraznolikosti</w:t>
            </w:r>
            <w:proofErr w:type="spellEnd"/>
            <w:r w:rsidRPr="00031611">
              <w:rPr>
                <w:rFonts w:ascii="Arial" w:hAnsi="Arial" w:cs="Arial"/>
                <w:sz w:val="16"/>
                <w:szCs w:val="16"/>
                <w:lang w:val="hr-HR" w:eastAsia="hr-HR"/>
              </w:rPr>
              <w:t xml:space="preserve"> i krajolika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031611" w:rsidRDefault="002C514F" w:rsidP="002C514F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31611">
              <w:rPr>
                <w:rFonts w:ascii="Arial" w:hAnsi="Arial" w:cs="Arial"/>
                <w:sz w:val="16"/>
                <w:szCs w:val="16"/>
                <w:lang w:val="hr-HR" w:eastAsia="hr-HR"/>
              </w:rPr>
              <w:t>41.250.353,47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031611" w:rsidRDefault="002C514F" w:rsidP="002C514F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31611">
              <w:rPr>
                <w:rFonts w:ascii="Arial" w:hAnsi="Arial" w:cs="Arial"/>
                <w:sz w:val="16"/>
                <w:szCs w:val="16"/>
                <w:lang w:val="hr-HR" w:eastAsia="hr-HR"/>
              </w:rPr>
              <w:t>64.818.080,00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031611" w:rsidRDefault="002C514F" w:rsidP="002C514F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31611">
              <w:rPr>
                <w:rFonts w:ascii="Arial" w:hAnsi="Arial" w:cs="Arial"/>
                <w:sz w:val="16"/>
                <w:szCs w:val="16"/>
                <w:lang w:val="hr-HR" w:eastAsia="hr-HR"/>
              </w:rPr>
              <w:t>50.974.925,44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031611" w:rsidRDefault="002C514F" w:rsidP="002C514F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31611">
              <w:rPr>
                <w:rFonts w:ascii="Arial" w:hAnsi="Arial" w:cs="Arial"/>
                <w:sz w:val="16"/>
                <w:szCs w:val="16"/>
                <w:lang w:val="hr-HR" w:eastAsia="hr-HR"/>
              </w:rPr>
              <w:t>123,57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514F" w:rsidRPr="00031611" w:rsidRDefault="002C514F" w:rsidP="002C514F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031611">
              <w:rPr>
                <w:rFonts w:ascii="Arial" w:hAnsi="Arial" w:cs="Arial"/>
                <w:sz w:val="16"/>
                <w:szCs w:val="16"/>
                <w:lang w:val="hr-HR" w:eastAsia="hr-HR"/>
              </w:rPr>
              <w:t>78,64</w:t>
            </w:r>
          </w:p>
        </w:tc>
      </w:tr>
    </w:tbl>
    <w:p w:rsidR="00A85EC9" w:rsidRPr="00031611" w:rsidRDefault="00A85EC9" w:rsidP="003D4203">
      <w:pPr>
        <w:rPr>
          <w:i/>
          <w:noProof/>
          <w:sz w:val="24"/>
          <w:szCs w:val="24"/>
          <w:lang w:eastAsia="hr-HR"/>
        </w:rPr>
      </w:pPr>
    </w:p>
    <w:p w:rsidR="003D4203" w:rsidRPr="00031611" w:rsidRDefault="006B59D4" w:rsidP="003D4203">
      <w:pPr>
        <w:rPr>
          <w:noProof/>
          <w:sz w:val="24"/>
          <w:szCs w:val="24"/>
          <w:lang w:eastAsia="hr-HR"/>
        </w:rPr>
      </w:pPr>
      <w:r w:rsidRPr="00031611">
        <w:rPr>
          <w:noProof/>
          <w:sz w:val="24"/>
          <w:szCs w:val="24"/>
          <w:lang w:eastAsia="hr-HR"/>
        </w:rPr>
        <w:t xml:space="preserve">Prema funkcijskoj klasifikaciji rashodi su izvršeni u kategoriji zaštite bioraznolikosti i krajolika. </w:t>
      </w:r>
    </w:p>
    <w:p w:rsidR="00031611" w:rsidRDefault="00031611" w:rsidP="00325732">
      <w:pPr>
        <w:rPr>
          <w:b/>
          <w:noProof/>
          <w:color w:val="C00000"/>
          <w:sz w:val="24"/>
          <w:szCs w:val="24"/>
          <w:lang w:eastAsia="hr-HR"/>
        </w:rPr>
      </w:pPr>
    </w:p>
    <w:p w:rsidR="00031611" w:rsidRDefault="00031611" w:rsidP="00325732">
      <w:pPr>
        <w:rPr>
          <w:b/>
          <w:noProof/>
          <w:color w:val="C00000"/>
          <w:sz w:val="24"/>
          <w:szCs w:val="24"/>
          <w:lang w:eastAsia="hr-HR"/>
        </w:rPr>
      </w:pPr>
    </w:p>
    <w:p w:rsidR="00580362" w:rsidRPr="000151F2" w:rsidRDefault="00C03BBD" w:rsidP="00325732">
      <w:pPr>
        <w:rPr>
          <w:b/>
          <w:noProof/>
          <w:sz w:val="24"/>
          <w:szCs w:val="24"/>
          <w:lang w:eastAsia="hr-HR"/>
        </w:rPr>
      </w:pPr>
      <w:r w:rsidRPr="000151F2">
        <w:rPr>
          <w:b/>
          <w:noProof/>
          <w:sz w:val="24"/>
          <w:szCs w:val="24"/>
          <w:lang w:eastAsia="hr-HR"/>
        </w:rPr>
        <w:lastRenderedPageBreak/>
        <w:t>PRIMICI I IZDACI</w:t>
      </w:r>
    </w:p>
    <w:p w:rsidR="004418FE" w:rsidRPr="000244D6" w:rsidRDefault="004418FE" w:rsidP="007A673E">
      <w:pPr>
        <w:rPr>
          <w:noProof/>
          <w:color w:val="C00000"/>
          <w:sz w:val="24"/>
          <w:szCs w:val="24"/>
          <w:lang w:eastAsia="hr-HR"/>
        </w:rPr>
      </w:pPr>
    </w:p>
    <w:p w:rsidR="007A673E" w:rsidRPr="009A2379" w:rsidRDefault="007A673E" w:rsidP="007A673E">
      <w:pPr>
        <w:rPr>
          <w:noProof/>
          <w:sz w:val="24"/>
          <w:szCs w:val="24"/>
          <w:lang w:eastAsia="hr-HR"/>
        </w:rPr>
      </w:pPr>
      <w:r w:rsidRPr="009A2379">
        <w:rPr>
          <w:noProof/>
          <w:sz w:val="24"/>
          <w:szCs w:val="24"/>
          <w:lang w:eastAsia="hr-HR"/>
        </w:rPr>
        <w:t xml:space="preserve">Stanje novčanih sredstava na početku proračunske godine iznosilo je </w:t>
      </w:r>
      <w:r w:rsidR="00DD2A62" w:rsidRPr="009A2379">
        <w:rPr>
          <w:noProof/>
          <w:sz w:val="24"/>
          <w:szCs w:val="24"/>
          <w:lang w:eastAsia="hr-HR"/>
        </w:rPr>
        <w:t>65.854.417,74</w:t>
      </w:r>
      <w:r w:rsidRPr="009A2379">
        <w:rPr>
          <w:noProof/>
          <w:sz w:val="24"/>
          <w:szCs w:val="24"/>
          <w:lang w:eastAsia="hr-HR"/>
        </w:rPr>
        <w:t xml:space="preserve"> eura, a na kraju proračunske godine </w:t>
      </w:r>
      <w:r w:rsidR="00DD2A62" w:rsidRPr="009A2379">
        <w:rPr>
          <w:noProof/>
          <w:sz w:val="24"/>
          <w:szCs w:val="24"/>
          <w:lang w:eastAsia="hr-HR"/>
        </w:rPr>
        <w:t>69.266.315,77</w:t>
      </w:r>
      <w:r w:rsidRPr="009A2379">
        <w:rPr>
          <w:noProof/>
          <w:sz w:val="24"/>
          <w:szCs w:val="24"/>
          <w:lang w:eastAsia="hr-HR"/>
        </w:rPr>
        <w:t xml:space="preserve"> eura.</w:t>
      </w:r>
    </w:p>
    <w:p w:rsidR="00580362" w:rsidRPr="002E7DEF" w:rsidRDefault="00325732" w:rsidP="00325732">
      <w:pPr>
        <w:rPr>
          <w:noProof/>
          <w:sz w:val="24"/>
          <w:szCs w:val="24"/>
          <w:lang w:eastAsia="hr-HR"/>
        </w:rPr>
      </w:pPr>
      <w:r w:rsidRPr="002E7DEF">
        <w:rPr>
          <w:noProof/>
          <w:sz w:val="24"/>
          <w:szCs w:val="24"/>
          <w:lang w:eastAsia="hr-HR"/>
        </w:rPr>
        <w:t xml:space="preserve">U nastavku </w:t>
      </w:r>
      <w:r w:rsidR="00971306" w:rsidRPr="002E7DEF">
        <w:rPr>
          <w:noProof/>
          <w:sz w:val="24"/>
          <w:szCs w:val="24"/>
          <w:lang w:eastAsia="hr-HR"/>
        </w:rPr>
        <w:t xml:space="preserve">se </w:t>
      </w:r>
      <w:r w:rsidR="003D686A" w:rsidRPr="002E7DEF">
        <w:rPr>
          <w:noProof/>
          <w:sz w:val="24"/>
          <w:szCs w:val="24"/>
          <w:lang w:eastAsia="hr-HR"/>
        </w:rPr>
        <w:t>daje prikaz plana i izvršenja R</w:t>
      </w:r>
      <w:r w:rsidRPr="002E7DEF">
        <w:rPr>
          <w:noProof/>
          <w:sz w:val="24"/>
          <w:szCs w:val="24"/>
          <w:lang w:eastAsia="hr-HR"/>
        </w:rPr>
        <w:t xml:space="preserve">ačuna prihoda i rashoda i </w:t>
      </w:r>
      <w:r w:rsidR="003D686A" w:rsidRPr="002E7DEF">
        <w:rPr>
          <w:noProof/>
          <w:sz w:val="24"/>
          <w:szCs w:val="24"/>
          <w:lang w:eastAsia="hr-HR"/>
        </w:rPr>
        <w:t>R</w:t>
      </w:r>
      <w:r w:rsidRPr="002E7DEF">
        <w:rPr>
          <w:noProof/>
          <w:sz w:val="24"/>
          <w:szCs w:val="24"/>
          <w:lang w:eastAsia="hr-HR"/>
        </w:rPr>
        <w:t xml:space="preserve">ačuna financiranja za </w:t>
      </w:r>
      <w:r w:rsidR="009A742F" w:rsidRPr="002E7DEF">
        <w:rPr>
          <w:noProof/>
          <w:sz w:val="24"/>
          <w:szCs w:val="24"/>
          <w:lang w:eastAsia="hr-HR"/>
        </w:rPr>
        <w:t xml:space="preserve">razdoblje siječanj - </w:t>
      </w:r>
      <w:r w:rsidR="005258A2" w:rsidRPr="002E7DEF">
        <w:rPr>
          <w:noProof/>
          <w:sz w:val="24"/>
          <w:szCs w:val="24"/>
          <w:lang w:eastAsia="hr-HR"/>
        </w:rPr>
        <w:t>prosinac</w:t>
      </w:r>
      <w:r w:rsidR="009A742F" w:rsidRPr="002E7DEF">
        <w:rPr>
          <w:noProof/>
          <w:sz w:val="24"/>
          <w:szCs w:val="24"/>
          <w:lang w:eastAsia="hr-HR"/>
        </w:rPr>
        <w:t xml:space="preserve"> </w:t>
      </w:r>
      <w:r w:rsidRPr="002E7DEF">
        <w:rPr>
          <w:noProof/>
          <w:sz w:val="24"/>
          <w:szCs w:val="24"/>
          <w:lang w:eastAsia="hr-HR"/>
        </w:rPr>
        <w:t>202</w:t>
      </w:r>
      <w:r w:rsidR="00DD2A62" w:rsidRPr="002E7DEF">
        <w:rPr>
          <w:noProof/>
          <w:sz w:val="24"/>
          <w:szCs w:val="24"/>
          <w:lang w:eastAsia="hr-HR"/>
        </w:rPr>
        <w:t>4</w:t>
      </w:r>
      <w:r w:rsidRPr="002E7DEF">
        <w:rPr>
          <w:noProof/>
          <w:sz w:val="24"/>
          <w:szCs w:val="24"/>
          <w:lang w:eastAsia="hr-HR"/>
        </w:rPr>
        <w:t>. godin</w:t>
      </w:r>
      <w:r w:rsidR="009A742F" w:rsidRPr="002E7DEF">
        <w:rPr>
          <w:noProof/>
          <w:sz w:val="24"/>
          <w:szCs w:val="24"/>
          <w:lang w:eastAsia="hr-HR"/>
        </w:rPr>
        <w:t>e</w:t>
      </w:r>
      <w:r w:rsidR="004C5BD3" w:rsidRPr="002E7DEF">
        <w:rPr>
          <w:noProof/>
          <w:sz w:val="24"/>
          <w:szCs w:val="24"/>
          <w:lang w:eastAsia="hr-HR"/>
        </w:rPr>
        <w:t xml:space="preserve"> iz kojeg je vidljivo da nije bilo primitaka od financijske imovine i zaduživanja ni izdataka za financijsku imovinu i otplate zajmova</w:t>
      </w:r>
      <w:r w:rsidRPr="002E7DEF">
        <w:rPr>
          <w:noProof/>
          <w:sz w:val="24"/>
          <w:szCs w:val="24"/>
          <w:lang w:eastAsia="hr-HR"/>
        </w:rPr>
        <w:t>.</w:t>
      </w:r>
    </w:p>
    <w:p w:rsidR="00325732" w:rsidRPr="000244D6" w:rsidRDefault="00325732" w:rsidP="00325732">
      <w:pPr>
        <w:rPr>
          <w:noProof/>
          <w:color w:val="C00000"/>
          <w:sz w:val="24"/>
          <w:szCs w:val="24"/>
          <w:lang w:eastAsia="hr-HR"/>
        </w:rPr>
      </w:pPr>
    </w:p>
    <w:p w:rsidR="002F143E" w:rsidRPr="002E7DEF" w:rsidRDefault="002F143E" w:rsidP="00325732">
      <w:pPr>
        <w:rPr>
          <w:i/>
          <w:noProof/>
          <w:sz w:val="24"/>
          <w:szCs w:val="24"/>
          <w:lang w:eastAsia="hr-HR"/>
        </w:rPr>
      </w:pPr>
      <w:r w:rsidRPr="002E7DEF">
        <w:rPr>
          <w:i/>
          <w:noProof/>
          <w:sz w:val="24"/>
          <w:szCs w:val="24"/>
          <w:lang w:eastAsia="hr-HR"/>
        </w:rPr>
        <w:t xml:space="preserve">Tablica </w:t>
      </w:r>
      <w:r w:rsidR="008C22F3" w:rsidRPr="002E7DEF">
        <w:rPr>
          <w:i/>
          <w:noProof/>
          <w:sz w:val="24"/>
          <w:szCs w:val="24"/>
          <w:lang w:eastAsia="hr-HR"/>
        </w:rPr>
        <w:t>6</w:t>
      </w:r>
      <w:r w:rsidRPr="002E7DEF">
        <w:rPr>
          <w:i/>
          <w:noProof/>
          <w:sz w:val="24"/>
          <w:szCs w:val="24"/>
          <w:lang w:eastAsia="hr-HR"/>
        </w:rPr>
        <w:t xml:space="preserve">. Račun prihoda i rashoda i Račun financiranja za </w:t>
      </w:r>
      <w:r w:rsidR="009A742F" w:rsidRPr="002E7DEF">
        <w:rPr>
          <w:i/>
          <w:noProof/>
          <w:sz w:val="24"/>
          <w:szCs w:val="24"/>
          <w:lang w:eastAsia="hr-HR"/>
        </w:rPr>
        <w:t xml:space="preserve">razdoblje siječanj – </w:t>
      </w:r>
      <w:r w:rsidR="005258A2" w:rsidRPr="002E7DEF">
        <w:rPr>
          <w:i/>
          <w:noProof/>
          <w:sz w:val="24"/>
          <w:szCs w:val="24"/>
          <w:lang w:eastAsia="hr-HR"/>
        </w:rPr>
        <w:t>prosinac</w:t>
      </w:r>
      <w:r w:rsidR="009A742F" w:rsidRPr="002E7DEF">
        <w:rPr>
          <w:i/>
          <w:noProof/>
          <w:sz w:val="24"/>
          <w:szCs w:val="24"/>
          <w:lang w:eastAsia="hr-HR"/>
        </w:rPr>
        <w:t xml:space="preserve"> </w:t>
      </w:r>
      <w:r w:rsidRPr="002E7DEF">
        <w:rPr>
          <w:i/>
          <w:noProof/>
          <w:sz w:val="24"/>
          <w:szCs w:val="24"/>
          <w:lang w:eastAsia="hr-HR"/>
        </w:rPr>
        <w:t>202</w:t>
      </w:r>
      <w:r w:rsidR="00DD2A62" w:rsidRPr="002E7DEF">
        <w:rPr>
          <w:i/>
          <w:noProof/>
          <w:sz w:val="24"/>
          <w:szCs w:val="24"/>
          <w:lang w:eastAsia="hr-HR"/>
        </w:rPr>
        <w:t>4</w:t>
      </w:r>
      <w:r w:rsidRPr="002E7DEF">
        <w:rPr>
          <w:i/>
          <w:noProof/>
          <w:sz w:val="24"/>
          <w:szCs w:val="24"/>
          <w:lang w:eastAsia="hr-HR"/>
        </w:rPr>
        <w:t>. godin</w:t>
      </w:r>
      <w:r w:rsidR="009A742F" w:rsidRPr="002E7DEF">
        <w:rPr>
          <w:i/>
          <w:noProof/>
          <w:sz w:val="24"/>
          <w:szCs w:val="24"/>
          <w:lang w:eastAsia="hr-HR"/>
        </w:rPr>
        <w:t>e</w:t>
      </w:r>
    </w:p>
    <w:p w:rsidR="005C463B" w:rsidRPr="000244D6" w:rsidRDefault="005C463B" w:rsidP="00325732">
      <w:pPr>
        <w:rPr>
          <w:i/>
          <w:noProof/>
          <w:color w:val="C00000"/>
          <w:sz w:val="24"/>
          <w:szCs w:val="24"/>
          <w:lang w:eastAsia="hr-HR"/>
        </w:rPr>
      </w:pPr>
    </w:p>
    <w:tbl>
      <w:tblPr>
        <w:tblW w:w="9888" w:type="dxa"/>
        <w:jc w:val="center"/>
        <w:tblLayout w:type="fixed"/>
        <w:tblLook w:val="04A0" w:firstRow="1" w:lastRow="0" w:firstColumn="1" w:lastColumn="0" w:noHBand="0" w:noVBand="1"/>
      </w:tblPr>
      <w:tblGrid>
        <w:gridCol w:w="5245"/>
        <w:gridCol w:w="1843"/>
        <w:gridCol w:w="1772"/>
        <w:gridCol w:w="1028"/>
      </w:tblGrid>
      <w:tr w:rsidR="009121AC" w:rsidRPr="009121AC" w:rsidTr="009121AC">
        <w:trPr>
          <w:trHeight w:val="300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lef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bookmarkStart w:id="1" w:name="RANGE!A1:D23"/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A. RAČUN PRIHODA I RASHODA</w:t>
            </w:r>
            <w:bookmarkEnd w:id="1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lef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</w:tr>
      <w:tr w:rsidR="009121AC" w:rsidRPr="009121AC" w:rsidTr="009121AC">
        <w:trPr>
          <w:trHeight w:val="300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</w:tr>
      <w:tr w:rsidR="009121AC" w:rsidRPr="009121AC" w:rsidTr="009121AC">
        <w:trPr>
          <w:trHeight w:val="420"/>
          <w:jc w:val="center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BROJČANA OZNAKA I NAZIV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sz w:val="20"/>
                <w:lang w:val="hr-HR" w:eastAsia="hr-HR"/>
              </w:rPr>
              <w:t>PLAN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OSTVARENJE/ IZVRŠENJE                  2024.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INDEKS</w:t>
            </w:r>
          </w:p>
        </w:tc>
      </w:tr>
      <w:tr w:rsidR="009121AC" w:rsidRPr="009121AC" w:rsidTr="009121AC">
        <w:trPr>
          <w:trHeight w:val="420"/>
          <w:jc w:val="center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sz w:val="20"/>
                <w:lang w:val="hr-HR" w:eastAsia="hr-HR"/>
              </w:rPr>
              <w:t>2024.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</w:p>
        </w:tc>
      </w:tr>
      <w:tr w:rsidR="009121AC" w:rsidRPr="009121AC" w:rsidTr="009121AC">
        <w:trPr>
          <w:trHeight w:val="300"/>
          <w:jc w:val="center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9121AC">
              <w:rPr>
                <w:rFonts w:ascii="Arial" w:hAnsi="Arial" w:cs="Arial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4=3/2*100</w:t>
            </w:r>
          </w:p>
        </w:tc>
      </w:tr>
      <w:tr w:rsidR="009121AC" w:rsidRPr="009121AC" w:rsidTr="009121AC">
        <w:trPr>
          <w:trHeight w:val="300"/>
          <w:jc w:val="center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6 PRIHODI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sz w:val="20"/>
                <w:lang w:val="hr-HR" w:eastAsia="hr-HR"/>
              </w:rPr>
              <w:t>57.849.988,00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59.100.235,54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102,16</w:t>
            </w:r>
          </w:p>
        </w:tc>
      </w:tr>
      <w:tr w:rsidR="00DB79B6" w:rsidRPr="00DB79B6" w:rsidTr="009121AC">
        <w:trPr>
          <w:trHeight w:val="300"/>
          <w:jc w:val="center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121AC" w:rsidRPr="00DB79B6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  <w:r w:rsidRPr="00DB79B6">
              <w:rPr>
                <w:rFonts w:ascii="Arial" w:hAnsi="Arial" w:cs="Arial"/>
                <w:sz w:val="20"/>
                <w:lang w:val="hr-HR" w:eastAsia="hr-HR"/>
              </w:rPr>
              <w:t>7 PRIHODI OD PRODAJE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DB79B6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  <w:r w:rsidRPr="00DB79B6">
              <w:rPr>
                <w:rFonts w:ascii="Arial" w:hAnsi="Arial" w:cs="Arial"/>
                <w:sz w:val="20"/>
                <w:lang w:val="hr-HR" w:eastAsia="hr-HR"/>
              </w:rPr>
              <w:t>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DB79B6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  <w:r w:rsidRPr="00DB79B6">
              <w:rPr>
                <w:rFonts w:ascii="Arial" w:hAnsi="Arial" w:cs="Arial"/>
                <w:sz w:val="20"/>
                <w:lang w:val="hr-HR" w:eastAsia="hr-HR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DB79B6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  <w:r w:rsidRPr="00DB79B6">
              <w:rPr>
                <w:rFonts w:ascii="Arial" w:hAnsi="Arial" w:cs="Arial"/>
                <w:sz w:val="20"/>
                <w:lang w:val="hr-HR" w:eastAsia="hr-HR"/>
              </w:rPr>
              <w:t> </w:t>
            </w:r>
          </w:p>
        </w:tc>
      </w:tr>
      <w:tr w:rsidR="009121AC" w:rsidRPr="009121AC" w:rsidTr="009121AC">
        <w:trPr>
          <w:trHeight w:val="300"/>
          <w:jc w:val="center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UKUPNI PRIHODI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sz w:val="20"/>
                <w:lang w:val="hr-HR" w:eastAsia="hr-HR"/>
              </w:rPr>
              <w:t>57.849.988,00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59.100.235,54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102,16</w:t>
            </w:r>
          </w:p>
        </w:tc>
      </w:tr>
      <w:tr w:rsidR="009121AC" w:rsidRPr="009121AC" w:rsidTr="009121AC">
        <w:trPr>
          <w:trHeight w:val="300"/>
          <w:jc w:val="center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3 RASHODI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sz w:val="20"/>
                <w:lang w:val="hr-HR" w:eastAsia="hr-HR"/>
              </w:rPr>
              <w:t>52.769.113,00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47.290.825,79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89,62</w:t>
            </w:r>
          </w:p>
        </w:tc>
      </w:tr>
      <w:tr w:rsidR="009121AC" w:rsidRPr="009121AC" w:rsidTr="009121AC">
        <w:trPr>
          <w:trHeight w:val="300"/>
          <w:jc w:val="center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4 RASHODI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sz w:val="20"/>
                <w:lang w:val="hr-HR" w:eastAsia="hr-HR"/>
              </w:rPr>
              <w:t>12.048.967,00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3.684.099,65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30,58</w:t>
            </w:r>
          </w:p>
        </w:tc>
      </w:tr>
      <w:tr w:rsidR="009121AC" w:rsidRPr="009121AC" w:rsidTr="009121AC">
        <w:trPr>
          <w:trHeight w:val="300"/>
          <w:jc w:val="center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UKUPNI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sz w:val="20"/>
                <w:lang w:val="hr-HR" w:eastAsia="hr-HR"/>
              </w:rPr>
              <w:t>64.818.080,00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50.974.925,44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78,64</w:t>
            </w:r>
          </w:p>
        </w:tc>
      </w:tr>
      <w:tr w:rsidR="009121AC" w:rsidRPr="009121AC" w:rsidTr="009121AC">
        <w:trPr>
          <w:trHeight w:val="300"/>
          <w:jc w:val="center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RAZLIKA - VIŠAK / MANJAK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sz w:val="20"/>
                <w:lang w:val="hr-HR" w:eastAsia="hr-HR"/>
              </w:rPr>
              <w:t>-6.968.092,00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8.125.310,10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9121AC" w:rsidRPr="009121AC" w:rsidTr="009121AC">
        <w:trPr>
          <w:trHeight w:val="300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</w:tr>
      <w:tr w:rsidR="009121AC" w:rsidRPr="009121AC" w:rsidTr="009121AC">
        <w:trPr>
          <w:trHeight w:val="300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</w:tr>
      <w:tr w:rsidR="009121AC" w:rsidRPr="009121AC" w:rsidTr="009121AC">
        <w:trPr>
          <w:trHeight w:val="300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B. RAČUN FINANCIRANJA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</w:tr>
      <w:tr w:rsidR="009121AC" w:rsidRPr="009121AC" w:rsidTr="009121AC">
        <w:trPr>
          <w:trHeight w:val="300"/>
          <w:jc w:val="center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</w:p>
        </w:tc>
      </w:tr>
      <w:tr w:rsidR="009121AC" w:rsidRPr="009121AC" w:rsidTr="009121AC">
        <w:trPr>
          <w:trHeight w:val="420"/>
          <w:jc w:val="center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BROJČANA OZNAKA I NAZIV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sz w:val="20"/>
                <w:lang w:val="hr-HR" w:eastAsia="hr-HR"/>
              </w:rPr>
              <w:t>PLAN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OSTVARENJE/ IZVRŠENJE                  2024.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INDEKS</w:t>
            </w:r>
          </w:p>
        </w:tc>
      </w:tr>
      <w:tr w:rsidR="009121AC" w:rsidRPr="009121AC" w:rsidTr="009121AC">
        <w:trPr>
          <w:trHeight w:val="420"/>
          <w:jc w:val="center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sz w:val="20"/>
                <w:lang w:val="hr-HR" w:eastAsia="hr-HR"/>
              </w:rPr>
              <w:t>2024.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</w:p>
        </w:tc>
      </w:tr>
      <w:tr w:rsidR="009121AC" w:rsidRPr="009121AC" w:rsidTr="009121AC">
        <w:trPr>
          <w:trHeight w:val="300"/>
          <w:jc w:val="center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val="hr-HR" w:eastAsia="hr-HR"/>
              </w:rPr>
            </w:pPr>
            <w:r w:rsidRPr="009121AC">
              <w:rPr>
                <w:rFonts w:ascii="Arial" w:hAnsi="Arial" w:cs="Arial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16"/>
                <w:szCs w:val="16"/>
                <w:lang w:val="hr-HR" w:eastAsia="hr-HR"/>
              </w:rPr>
              <w:t>4=3/2*100</w:t>
            </w:r>
          </w:p>
        </w:tc>
      </w:tr>
      <w:tr w:rsidR="009121AC" w:rsidRPr="009121AC" w:rsidTr="00B32ADE">
        <w:trPr>
          <w:trHeight w:val="300"/>
          <w:jc w:val="center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PRIJENOS SREDSTAVA IZ PRETHODNE GODINE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sz w:val="20"/>
                <w:lang w:val="hr-HR" w:eastAsia="hr-HR"/>
              </w:rPr>
              <w:t>72.220.935,00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1AC" w:rsidRPr="00B32ADE" w:rsidRDefault="00F767D9" w:rsidP="00F77047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  <w:r w:rsidRPr="00B32ADE">
              <w:rPr>
                <w:rFonts w:ascii="Arial" w:hAnsi="Arial" w:cs="Arial"/>
                <w:sz w:val="20"/>
                <w:lang w:val="hr-HR" w:eastAsia="hr-HR"/>
              </w:rPr>
              <w:t>72.220.934,9</w:t>
            </w:r>
            <w:r w:rsidR="00F77047">
              <w:rPr>
                <w:rFonts w:ascii="Arial" w:hAnsi="Arial" w:cs="Arial"/>
                <w:sz w:val="20"/>
                <w:lang w:val="hr-HR" w:eastAsia="hr-HR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100,00</w:t>
            </w:r>
          </w:p>
        </w:tc>
      </w:tr>
      <w:tr w:rsidR="009121AC" w:rsidRPr="009121AC" w:rsidTr="00B32ADE">
        <w:trPr>
          <w:trHeight w:val="300"/>
          <w:jc w:val="center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B714BF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PRIJENOS SREDSTAVA U SLJEDEĆ</w:t>
            </w:r>
            <w:r w:rsidR="00B714BF">
              <w:rPr>
                <w:rFonts w:ascii="Arial" w:hAnsi="Arial" w:cs="Arial"/>
                <w:color w:val="000000"/>
                <w:sz w:val="20"/>
                <w:lang w:val="hr-HR" w:eastAsia="hr-HR"/>
              </w:rPr>
              <w:t>U GODINU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sz w:val="20"/>
                <w:lang w:val="hr-HR" w:eastAsia="hr-HR"/>
              </w:rPr>
              <w:t>-65.252.843,00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1AC" w:rsidRPr="00DB79B6" w:rsidRDefault="001F6C7F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  <w:r w:rsidRPr="00DB79B6">
              <w:rPr>
                <w:rFonts w:ascii="Arial" w:hAnsi="Arial" w:cs="Arial"/>
                <w:sz w:val="20"/>
                <w:lang w:val="hr-HR" w:eastAsia="hr-HR"/>
              </w:rPr>
              <w:t>-80.346.245,00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123,13</w:t>
            </w:r>
          </w:p>
        </w:tc>
      </w:tr>
      <w:tr w:rsidR="009121AC" w:rsidRPr="009121AC" w:rsidTr="009121AC">
        <w:trPr>
          <w:trHeight w:val="300"/>
          <w:jc w:val="center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NETO FINA</w:t>
            </w:r>
            <w:r w:rsidR="00A61CC7">
              <w:rPr>
                <w:rFonts w:ascii="Arial" w:hAnsi="Arial" w:cs="Arial"/>
                <w:color w:val="000000"/>
                <w:sz w:val="20"/>
                <w:lang w:val="hr-HR" w:eastAsia="hr-HR"/>
              </w:rPr>
              <w:t>N</w:t>
            </w: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CIRANJE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sz w:val="20"/>
                <w:lang w:val="hr-HR" w:eastAsia="hr-HR"/>
              </w:rPr>
              <w:t>6.968.092,00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-8.125.310,10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9121AC" w:rsidRPr="009121AC" w:rsidTr="009121AC">
        <w:trPr>
          <w:trHeight w:val="300"/>
          <w:jc w:val="center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VIŠAK / MANJAK + NETO FINA</w:t>
            </w:r>
            <w:r w:rsidR="00DD6885">
              <w:rPr>
                <w:rFonts w:ascii="Arial" w:hAnsi="Arial" w:cs="Arial"/>
                <w:color w:val="000000"/>
                <w:sz w:val="20"/>
                <w:lang w:val="hr-HR" w:eastAsia="hr-HR"/>
              </w:rPr>
              <w:t>N</w:t>
            </w: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CIRANJE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sz w:val="20"/>
                <w:lang w:val="hr-HR" w:eastAsia="hr-HR"/>
              </w:rPr>
              <w:t>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1AC" w:rsidRPr="009121AC" w:rsidRDefault="009121AC" w:rsidP="009121AC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9121AC">
              <w:rPr>
                <w:rFonts w:ascii="Arial" w:hAnsi="Arial" w:cs="Arial"/>
                <w:color w:val="000000"/>
                <w:sz w:val="20"/>
                <w:lang w:val="hr-HR" w:eastAsia="hr-HR"/>
              </w:rPr>
              <w:t> </w:t>
            </w:r>
          </w:p>
        </w:tc>
      </w:tr>
    </w:tbl>
    <w:p w:rsidR="009121AC" w:rsidRDefault="009121AC" w:rsidP="005D59FA">
      <w:pPr>
        <w:rPr>
          <w:noProof/>
          <w:color w:val="C00000"/>
          <w:sz w:val="24"/>
          <w:szCs w:val="24"/>
          <w:lang w:eastAsia="hr-HR"/>
        </w:rPr>
      </w:pPr>
    </w:p>
    <w:p w:rsidR="00B05C19" w:rsidRPr="009A2379" w:rsidRDefault="00325732" w:rsidP="005D59FA">
      <w:r w:rsidRPr="009A2379">
        <w:rPr>
          <w:noProof/>
          <w:sz w:val="24"/>
          <w:szCs w:val="24"/>
          <w:lang w:eastAsia="hr-HR"/>
        </w:rPr>
        <w:t xml:space="preserve">U </w:t>
      </w:r>
      <w:r w:rsidR="00262C12" w:rsidRPr="009A2379">
        <w:rPr>
          <w:noProof/>
          <w:sz w:val="24"/>
          <w:szCs w:val="24"/>
          <w:lang w:eastAsia="hr-HR"/>
        </w:rPr>
        <w:t xml:space="preserve">razdoblju od siječnja do </w:t>
      </w:r>
      <w:r w:rsidR="005258A2" w:rsidRPr="009A2379">
        <w:rPr>
          <w:noProof/>
          <w:sz w:val="24"/>
          <w:szCs w:val="24"/>
          <w:lang w:eastAsia="hr-HR"/>
        </w:rPr>
        <w:t>prosinca</w:t>
      </w:r>
      <w:r w:rsidR="00262C12" w:rsidRPr="009A2379">
        <w:rPr>
          <w:noProof/>
          <w:sz w:val="24"/>
          <w:szCs w:val="24"/>
          <w:lang w:eastAsia="hr-HR"/>
        </w:rPr>
        <w:t xml:space="preserve"> </w:t>
      </w:r>
      <w:r w:rsidRPr="009A2379">
        <w:rPr>
          <w:noProof/>
          <w:sz w:val="24"/>
          <w:szCs w:val="24"/>
          <w:lang w:eastAsia="hr-HR"/>
        </w:rPr>
        <w:t>202</w:t>
      </w:r>
      <w:r w:rsidR="002E7DEF" w:rsidRPr="009A2379">
        <w:rPr>
          <w:noProof/>
          <w:sz w:val="24"/>
          <w:szCs w:val="24"/>
          <w:lang w:eastAsia="hr-HR"/>
        </w:rPr>
        <w:t>4</w:t>
      </w:r>
      <w:r w:rsidRPr="009A2379">
        <w:rPr>
          <w:noProof/>
          <w:sz w:val="24"/>
          <w:szCs w:val="24"/>
          <w:lang w:eastAsia="hr-HR"/>
        </w:rPr>
        <w:t>. godin</w:t>
      </w:r>
      <w:r w:rsidR="00262C12" w:rsidRPr="009A2379">
        <w:rPr>
          <w:noProof/>
          <w:sz w:val="24"/>
          <w:szCs w:val="24"/>
          <w:lang w:eastAsia="hr-HR"/>
        </w:rPr>
        <w:t>e</w:t>
      </w:r>
      <w:r w:rsidRPr="009A2379">
        <w:rPr>
          <w:noProof/>
          <w:sz w:val="24"/>
          <w:szCs w:val="24"/>
          <w:lang w:eastAsia="hr-HR"/>
        </w:rPr>
        <w:t xml:space="preserve"> </w:t>
      </w:r>
      <w:r w:rsidR="00262C12" w:rsidRPr="009A2379">
        <w:rPr>
          <w:noProof/>
          <w:sz w:val="24"/>
          <w:szCs w:val="24"/>
          <w:lang w:eastAsia="hr-HR"/>
        </w:rPr>
        <w:t xml:space="preserve">ukupni prihodi </w:t>
      </w:r>
      <w:r w:rsidR="003935D0" w:rsidRPr="009A2379">
        <w:rPr>
          <w:noProof/>
          <w:sz w:val="24"/>
          <w:szCs w:val="24"/>
          <w:lang w:eastAsia="hr-HR"/>
        </w:rPr>
        <w:t xml:space="preserve">odnosno </w:t>
      </w:r>
      <w:r w:rsidRPr="009A2379">
        <w:rPr>
          <w:noProof/>
          <w:sz w:val="24"/>
          <w:szCs w:val="24"/>
          <w:lang w:eastAsia="hr-HR"/>
        </w:rPr>
        <w:t xml:space="preserve">prihodi poslovanja </w:t>
      </w:r>
      <w:r w:rsidR="003935D0" w:rsidRPr="009A2379">
        <w:rPr>
          <w:noProof/>
          <w:sz w:val="24"/>
          <w:szCs w:val="24"/>
          <w:lang w:eastAsia="hr-HR"/>
        </w:rPr>
        <w:t>o</w:t>
      </w:r>
      <w:r w:rsidRPr="009A2379">
        <w:rPr>
          <w:noProof/>
          <w:sz w:val="24"/>
          <w:szCs w:val="24"/>
          <w:lang w:eastAsia="hr-HR"/>
        </w:rPr>
        <w:t xml:space="preserve">stvareni su u iznosu od </w:t>
      </w:r>
      <w:r w:rsidR="009121AC" w:rsidRPr="009A2379">
        <w:rPr>
          <w:noProof/>
          <w:sz w:val="24"/>
          <w:szCs w:val="24"/>
          <w:lang w:eastAsia="hr-HR"/>
        </w:rPr>
        <w:t>59,1</w:t>
      </w:r>
      <w:r w:rsidR="00262C12" w:rsidRPr="009A2379">
        <w:rPr>
          <w:noProof/>
          <w:sz w:val="24"/>
          <w:szCs w:val="24"/>
          <w:lang w:eastAsia="hr-HR"/>
        </w:rPr>
        <w:t xml:space="preserve"> </w:t>
      </w:r>
      <w:r w:rsidRPr="009A2379">
        <w:rPr>
          <w:noProof/>
          <w:sz w:val="24"/>
          <w:szCs w:val="24"/>
          <w:lang w:eastAsia="hr-HR"/>
        </w:rPr>
        <w:t xml:space="preserve">milijun </w:t>
      </w:r>
      <w:r w:rsidR="00E36E6E" w:rsidRPr="009A2379">
        <w:rPr>
          <w:noProof/>
          <w:sz w:val="24"/>
          <w:szCs w:val="24"/>
          <w:lang w:eastAsia="hr-HR"/>
        </w:rPr>
        <w:t>eura</w:t>
      </w:r>
      <w:r w:rsidRPr="009A2379">
        <w:rPr>
          <w:noProof/>
          <w:sz w:val="24"/>
          <w:szCs w:val="24"/>
          <w:lang w:eastAsia="hr-HR"/>
        </w:rPr>
        <w:t xml:space="preserve">, a ukupni rashodi (rashodi poslovanja i rashodi za nabavu nefinancijske imovine) </w:t>
      </w:r>
      <w:r w:rsidR="00E36E6E" w:rsidRPr="009A2379">
        <w:rPr>
          <w:noProof/>
          <w:sz w:val="24"/>
          <w:szCs w:val="24"/>
          <w:lang w:eastAsia="hr-HR"/>
        </w:rPr>
        <w:t>izvršeni</w:t>
      </w:r>
      <w:r w:rsidRPr="009A2379">
        <w:rPr>
          <w:noProof/>
          <w:sz w:val="24"/>
          <w:szCs w:val="24"/>
          <w:lang w:eastAsia="hr-HR"/>
        </w:rPr>
        <w:t xml:space="preserve"> su u iznosu od </w:t>
      </w:r>
      <w:r w:rsidR="009121AC" w:rsidRPr="009A2379">
        <w:rPr>
          <w:noProof/>
          <w:sz w:val="24"/>
          <w:szCs w:val="24"/>
          <w:lang w:eastAsia="hr-HR"/>
        </w:rPr>
        <w:t>51</w:t>
      </w:r>
      <w:r w:rsidR="00262C12" w:rsidRPr="009A2379">
        <w:rPr>
          <w:noProof/>
          <w:sz w:val="24"/>
          <w:szCs w:val="24"/>
          <w:lang w:eastAsia="hr-HR"/>
        </w:rPr>
        <w:t xml:space="preserve"> milijun</w:t>
      </w:r>
      <w:r w:rsidRPr="009A2379">
        <w:rPr>
          <w:noProof/>
          <w:sz w:val="24"/>
          <w:szCs w:val="24"/>
          <w:lang w:eastAsia="hr-HR"/>
        </w:rPr>
        <w:t xml:space="preserve"> </w:t>
      </w:r>
      <w:r w:rsidR="00E36E6E" w:rsidRPr="009A2379">
        <w:rPr>
          <w:noProof/>
          <w:sz w:val="24"/>
          <w:szCs w:val="24"/>
          <w:lang w:eastAsia="hr-HR"/>
        </w:rPr>
        <w:t>eura</w:t>
      </w:r>
      <w:r w:rsidRPr="009A2379">
        <w:rPr>
          <w:noProof/>
          <w:sz w:val="24"/>
          <w:szCs w:val="24"/>
          <w:lang w:eastAsia="hr-HR"/>
        </w:rPr>
        <w:t xml:space="preserve">. </w:t>
      </w:r>
      <w:r w:rsidR="00660E65" w:rsidRPr="009A2379">
        <w:rPr>
          <w:noProof/>
          <w:sz w:val="24"/>
          <w:szCs w:val="24"/>
          <w:lang w:eastAsia="hr-HR"/>
        </w:rPr>
        <w:t xml:space="preserve">Razlika </w:t>
      </w:r>
      <w:r w:rsidRPr="009A2379">
        <w:rPr>
          <w:noProof/>
          <w:sz w:val="24"/>
          <w:szCs w:val="24"/>
          <w:lang w:eastAsia="hr-HR"/>
        </w:rPr>
        <w:t xml:space="preserve">prihoda i </w:t>
      </w:r>
      <w:r w:rsidR="006629C0" w:rsidRPr="009A2379">
        <w:rPr>
          <w:noProof/>
          <w:sz w:val="24"/>
          <w:szCs w:val="24"/>
          <w:lang w:eastAsia="hr-HR"/>
        </w:rPr>
        <w:t>rashoda</w:t>
      </w:r>
      <w:r w:rsidRPr="009A2379">
        <w:rPr>
          <w:noProof/>
          <w:sz w:val="24"/>
          <w:szCs w:val="24"/>
          <w:lang w:eastAsia="hr-HR"/>
        </w:rPr>
        <w:t xml:space="preserve"> </w:t>
      </w:r>
      <w:r w:rsidR="00660E65" w:rsidRPr="009A2379">
        <w:rPr>
          <w:noProof/>
          <w:sz w:val="24"/>
          <w:szCs w:val="24"/>
          <w:lang w:eastAsia="hr-HR"/>
        </w:rPr>
        <w:t xml:space="preserve">od </w:t>
      </w:r>
      <w:r w:rsidR="009121AC" w:rsidRPr="009A2379">
        <w:rPr>
          <w:noProof/>
          <w:sz w:val="24"/>
          <w:szCs w:val="24"/>
          <w:lang w:eastAsia="hr-HR"/>
        </w:rPr>
        <w:t>8,1</w:t>
      </w:r>
      <w:r w:rsidR="006629C0" w:rsidRPr="009A2379">
        <w:rPr>
          <w:noProof/>
          <w:sz w:val="24"/>
          <w:szCs w:val="24"/>
          <w:lang w:eastAsia="hr-HR"/>
        </w:rPr>
        <w:t xml:space="preserve"> milijun eura</w:t>
      </w:r>
      <w:r w:rsidR="00E36E6E" w:rsidRPr="009A2379">
        <w:rPr>
          <w:noProof/>
          <w:sz w:val="24"/>
          <w:szCs w:val="24"/>
          <w:lang w:eastAsia="hr-HR"/>
        </w:rPr>
        <w:t xml:space="preserve"> </w:t>
      </w:r>
      <w:r w:rsidR="00660E65" w:rsidRPr="009A2379">
        <w:rPr>
          <w:noProof/>
          <w:sz w:val="24"/>
          <w:szCs w:val="24"/>
          <w:lang w:eastAsia="hr-HR"/>
        </w:rPr>
        <w:t xml:space="preserve">povećava </w:t>
      </w:r>
      <w:r w:rsidR="00E36E6E" w:rsidRPr="009A2379">
        <w:rPr>
          <w:noProof/>
          <w:sz w:val="24"/>
          <w:szCs w:val="24"/>
          <w:lang w:val="hr-HR" w:eastAsia="hr-HR"/>
        </w:rPr>
        <w:t>prijenos sredstava iz prethodnih godina ostvaren od prodaje ulaznica i roba te pruženih usluga</w:t>
      </w:r>
      <w:r w:rsidR="00660E65" w:rsidRPr="009A2379">
        <w:rPr>
          <w:noProof/>
          <w:sz w:val="24"/>
          <w:szCs w:val="24"/>
          <w:lang w:val="hr-HR" w:eastAsia="hr-HR"/>
        </w:rPr>
        <w:t xml:space="preserve"> te se u sljedeću godinu prenosi 80,3 milijuna eura. </w:t>
      </w:r>
      <w:r w:rsidR="00E36E6E" w:rsidRPr="009A2379">
        <w:rPr>
          <w:noProof/>
          <w:sz w:val="24"/>
          <w:szCs w:val="24"/>
          <w:lang w:val="hr-HR" w:eastAsia="hr-HR"/>
        </w:rPr>
        <w:t xml:space="preserve">Iz prijenosa sredstava planiraju </w:t>
      </w:r>
      <w:r w:rsidR="006629C0" w:rsidRPr="009A2379">
        <w:rPr>
          <w:noProof/>
          <w:sz w:val="24"/>
          <w:szCs w:val="24"/>
          <w:lang w:eastAsia="hr-HR"/>
        </w:rPr>
        <w:t>se</w:t>
      </w:r>
      <w:r w:rsidR="00D76055" w:rsidRPr="009A2379">
        <w:rPr>
          <w:noProof/>
          <w:sz w:val="24"/>
          <w:szCs w:val="24"/>
          <w:lang w:eastAsia="hr-HR"/>
        </w:rPr>
        <w:t xml:space="preserve"> financirati rashodi za nabavu nefinancijske imovine</w:t>
      </w:r>
      <w:r w:rsidR="005D0208" w:rsidRPr="009A2379">
        <w:rPr>
          <w:noProof/>
          <w:sz w:val="24"/>
          <w:szCs w:val="24"/>
          <w:lang w:eastAsia="hr-HR"/>
        </w:rPr>
        <w:t>.</w:t>
      </w:r>
      <w:r w:rsidR="005D59FA" w:rsidRPr="009A2379">
        <w:t xml:space="preserve"> </w:t>
      </w:r>
    </w:p>
    <w:p w:rsidR="00A87BDC" w:rsidRPr="000244D6" w:rsidRDefault="00A87BDC" w:rsidP="003B0BE4">
      <w:pPr>
        <w:jc w:val="center"/>
        <w:rPr>
          <w:b/>
          <w:noProof/>
          <w:color w:val="C00000"/>
          <w:sz w:val="28"/>
          <w:szCs w:val="28"/>
          <w:lang w:eastAsia="hr-HR"/>
        </w:rPr>
      </w:pPr>
    </w:p>
    <w:p w:rsidR="003B0BE4" w:rsidRPr="0095615D" w:rsidRDefault="003B0BE4" w:rsidP="003B0BE4">
      <w:pPr>
        <w:jc w:val="center"/>
      </w:pPr>
      <w:r w:rsidRPr="0095615D">
        <w:rPr>
          <w:b/>
          <w:noProof/>
          <w:sz w:val="28"/>
          <w:szCs w:val="28"/>
          <w:lang w:eastAsia="hr-HR"/>
        </w:rPr>
        <w:lastRenderedPageBreak/>
        <w:t>OBRAZLOŽENJE POSEBNOG DIJELA GODIŠNJEG IZVJEŠTAJA O IZVRŠENJU FINANCIJSKOG PLANA JAVNE USTANOVE NACIONAL</w:t>
      </w:r>
      <w:r w:rsidR="0095615D" w:rsidRPr="0095615D">
        <w:rPr>
          <w:b/>
          <w:noProof/>
          <w:sz w:val="28"/>
          <w:szCs w:val="28"/>
          <w:lang w:eastAsia="hr-HR"/>
        </w:rPr>
        <w:t>NI PARK PLITVIČKA JEZERA ZA 2024</w:t>
      </w:r>
      <w:r w:rsidR="008357C3">
        <w:rPr>
          <w:b/>
          <w:noProof/>
          <w:sz w:val="28"/>
          <w:szCs w:val="28"/>
          <w:lang w:eastAsia="hr-HR"/>
        </w:rPr>
        <w:t>. GODINU</w:t>
      </w:r>
    </w:p>
    <w:p w:rsidR="003B0BE4" w:rsidRPr="0095615D" w:rsidRDefault="003B0BE4" w:rsidP="003B0BE4">
      <w:pPr>
        <w:jc w:val="left"/>
      </w:pPr>
    </w:p>
    <w:p w:rsidR="003B0BE4" w:rsidRPr="0095615D" w:rsidRDefault="003B0BE4" w:rsidP="003B0BE4">
      <w:pPr>
        <w:pStyle w:val="Naslov4"/>
      </w:pPr>
      <w:r w:rsidRPr="0095615D">
        <w:t>A779047 ADMINISTRACIJA I UPRAVLJANJE (IZ EVIDENCIJ</w:t>
      </w:r>
      <w:r w:rsidR="00411F56" w:rsidRPr="0095615D">
        <w:t>S</w:t>
      </w:r>
      <w:r w:rsidRPr="0095615D">
        <w:t>KIH PRIHODA)</w:t>
      </w:r>
    </w:p>
    <w:p w:rsidR="003B0BE4" w:rsidRPr="0095615D" w:rsidRDefault="003B0BE4" w:rsidP="003B0BE4">
      <w:pPr>
        <w:pStyle w:val="Naslov8"/>
        <w:jc w:val="left"/>
      </w:pPr>
    </w:p>
    <w:tbl>
      <w:tblPr>
        <w:tblW w:w="9639" w:type="dxa"/>
        <w:tblInd w:w="279" w:type="dxa"/>
        <w:tblLook w:val="04A0" w:firstRow="1" w:lastRow="0" w:firstColumn="1" w:lastColumn="0" w:noHBand="0" w:noVBand="1"/>
      </w:tblPr>
      <w:tblGrid>
        <w:gridCol w:w="5386"/>
        <w:gridCol w:w="1695"/>
        <w:gridCol w:w="1566"/>
        <w:gridCol w:w="992"/>
      </w:tblGrid>
      <w:tr w:rsidR="00D02C29" w:rsidRPr="0095615D" w:rsidTr="00D02C29">
        <w:trPr>
          <w:trHeight w:val="67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D02C29" w:rsidRPr="0095615D" w:rsidRDefault="00D02C29" w:rsidP="00D02C2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  <w:r w:rsidRPr="0095615D">
              <w:rPr>
                <w:rFonts w:ascii="Arial" w:hAnsi="Arial" w:cs="Arial"/>
                <w:sz w:val="20"/>
                <w:lang w:val="hr-HR" w:eastAsia="hr-HR"/>
              </w:rPr>
              <w:t>NAZIV AKTIVNOSTI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D02C29" w:rsidRPr="0095615D" w:rsidRDefault="00D02C29" w:rsidP="0095615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  <w:r w:rsidRPr="0095615D">
              <w:rPr>
                <w:rFonts w:ascii="Arial" w:hAnsi="Arial" w:cs="Arial"/>
                <w:sz w:val="20"/>
                <w:lang w:val="hr-HR" w:eastAsia="hr-HR"/>
              </w:rPr>
              <w:t>PLAN 202</w:t>
            </w:r>
            <w:r w:rsidR="0095615D" w:rsidRPr="0095615D">
              <w:rPr>
                <w:rFonts w:ascii="Arial" w:hAnsi="Arial" w:cs="Arial"/>
                <w:sz w:val="20"/>
                <w:lang w:val="hr-HR" w:eastAsia="hr-HR"/>
              </w:rPr>
              <w:t>4</w:t>
            </w:r>
            <w:r w:rsidRPr="0095615D">
              <w:rPr>
                <w:rFonts w:ascii="Arial" w:hAnsi="Arial" w:cs="Arial"/>
                <w:sz w:val="20"/>
                <w:lang w:val="hr-HR" w:eastAsia="hr-HR"/>
              </w:rPr>
              <w:t>.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D02C29" w:rsidRPr="0095615D" w:rsidRDefault="00D02C29" w:rsidP="0095615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  <w:r w:rsidRPr="0095615D">
              <w:rPr>
                <w:rFonts w:ascii="Arial" w:hAnsi="Arial" w:cs="Arial"/>
                <w:sz w:val="20"/>
                <w:lang w:val="hr-HR" w:eastAsia="hr-HR"/>
              </w:rPr>
              <w:t>IZVRŠENJE                                                                                                                                                                    202</w:t>
            </w:r>
            <w:r w:rsidR="0095615D" w:rsidRPr="0095615D">
              <w:rPr>
                <w:rFonts w:ascii="Arial" w:hAnsi="Arial" w:cs="Arial"/>
                <w:sz w:val="20"/>
                <w:lang w:val="hr-HR" w:eastAsia="hr-HR"/>
              </w:rPr>
              <w:t>4</w:t>
            </w:r>
            <w:r w:rsidRPr="0095615D">
              <w:rPr>
                <w:rFonts w:ascii="Arial" w:hAnsi="Arial" w:cs="Arial"/>
                <w:sz w:val="20"/>
                <w:lang w:val="hr-HR"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D02C29" w:rsidRPr="0095615D" w:rsidRDefault="00D02C29" w:rsidP="00D02C2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  <w:r w:rsidRPr="0095615D">
              <w:rPr>
                <w:rFonts w:ascii="Arial" w:hAnsi="Arial" w:cs="Arial"/>
                <w:sz w:val="20"/>
                <w:lang w:val="hr-HR" w:eastAsia="hr-HR"/>
              </w:rPr>
              <w:t>INDEKS</w:t>
            </w:r>
          </w:p>
        </w:tc>
      </w:tr>
      <w:tr w:rsidR="0095615D" w:rsidRPr="0095615D" w:rsidTr="00D02C29">
        <w:trPr>
          <w:trHeight w:val="675"/>
        </w:trPr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2C29" w:rsidRPr="0095615D" w:rsidRDefault="00D02C29" w:rsidP="00D02C29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sz w:val="20"/>
                <w:lang w:val="hr-HR" w:eastAsia="hr-HR"/>
              </w:rPr>
            </w:pPr>
            <w:r w:rsidRPr="0095615D">
              <w:rPr>
                <w:sz w:val="20"/>
                <w:lang w:val="hr-HR" w:eastAsia="hr-HR"/>
              </w:rPr>
              <w:t>A779047 - ADMINISTRACIJA I UPRAVLJANJE (IZ EVIDENCIJSKIH PRIHODA)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2C29" w:rsidRPr="0095615D" w:rsidRDefault="0095615D" w:rsidP="00D02C29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sz w:val="20"/>
                <w:lang w:val="hr-HR" w:eastAsia="hr-HR"/>
              </w:rPr>
            </w:pPr>
            <w:r w:rsidRPr="0095615D">
              <w:rPr>
                <w:sz w:val="20"/>
                <w:lang w:val="hr-HR" w:eastAsia="hr-HR"/>
              </w:rPr>
              <w:t>64.818.080,00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2C29" w:rsidRPr="0095615D" w:rsidRDefault="0095615D" w:rsidP="00D02C29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sz w:val="20"/>
                <w:lang w:val="hr-HR" w:eastAsia="hr-HR"/>
              </w:rPr>
            </w:pPr>
            <w:r w:rsidRPr="0095615D">
              <w:rPr>
                <w:sz w:val="20"/>
                <w:lang w:val="hr-HR" w:eastAsia="hr-HR"/>
              </w:rPr>
              <w:t>50.974.925,44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2C29" w:rsidRPr="0095615D" w:rsidRDefault="0095615D" w:rsidP="0095615D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sz w:val="20"/>
                <w:lang w:val="hr-HR" w:eastAsia="hr-HR"/>
              </w:rPr>
            </w:pPr>
            <w:r w:rsidRPr="0095615D">
              <w:rPr>
                <w:sz w:val="20"/>
                <w:lang w:val="hr-HR" w:eastAsia="hr-HR"/>
              </w:rPr>
              <w:t>78,6</w:t>
            </w:r>
          </w:p>
        </w:tc>
      </w:tr>
    </w:tbl>
    <w:p w:rsidR="00D02C29" w:rsidRPr="0095615D" w:rsidRDefault="00D02C29" w:rsidP="00576EFF">
      <w:pPr>
        <w:pStyle w:val="Naslov8"/>
        <w:rPr>
          <w:sz w:val="24"/>
          <w:szCs w:val="24"/>
        </w:rPr>
      </w:pPr>
    </w:p>
    <w:p w:rsidR="003B0BE4" w:rsidRPr="00C6329C" w:rsidRDefault="003B0BE4" w:rsidP="00576EFF">
      <w:pPr>
        <w:pStyle w:val="Naslov8"/>
        <w:rPr>
          <w:sz w:val="24"/>
          <w:szCs w:val="24"/>
        </w:rPr>
      </w:pPr>
      <w:r w:rsidRPr="00C6329C">
        <w:rPr>
          <w:sz w:val="24"/>
          <w:szCs w:val="24"/>
        </w:rPr>
        <w:t>Zakonske i druge pravne osnove:</w:t>
      </w:r>
    </w:p>
    <w:p w:rsidR="003B0BE4" w:rsidRPr="000244D6" w:rsidRDefault="00576EFF" w:rsidP="00576EFF">
      <w:pPr>
        <w:pStyle w:val="Naslov8"/>
        <w:rPr>
          <w:color w:val="C00000"/>
          <w:sz w:val="24"/>
          <w:szCs w:val="24"/>
        </w:rPr>
      </w:pPr>
      <w:r w:rsidRPr="00C6329C">
        <w:rPr>
          <w:b w:val="0"/>
          <w:sz w:val="24"/>
          <w:szCs w:val="24"/>
        </w:rPr>
        <w:t>Članak 132. i 134. Zakona o zaštiti prirode (»Narodne novine</w:t>
      </w:r>
      <w:r w:rsidR="00C6329C" w:rsidRPr="00C6329C">
        <w:rPr>
          <w:b w:val="0"/>
          <w:sz w:val="24"/>
          <w:szCs w:val="24"/>
        </w:rPr>
        <w:t xml:space="preserve">«, br. 80/13., 15/18., 14/19., </w:t>
      </w:r>
      <w:r w:rsidRPr="00C6329C">
        <w:rPr>
          <w:b w:val="0"/>
          <w:sz w:val="24"/>
          <w:szCs w:val="24"/>
        </w:rPr>
        <w:t>127/19.</w:t>
      </w:r>
      <w:r w:rsidR="00C6329C" w:rsidRPr="00C6329C">
        <w:rPr>
          <w:b w:val="0"/>
          <w:sz w:val="24"/>
          <w:szCs w:val="24"/>
        </w:rPr>
        <w:t xml:space="preserve"> i 155/23.</w:t>
      </w:r>
      <w:r w:rsidRPr="00C6329C">
        <w:rPr>
          <w:b w:val="0"/>
          <w:sz w:val="24"/>
          <w:szCs w:val="24"/>
        </w:rPr>
        <w:t xml:space="preserve">), članak 36. Zakona o ustanovama (»Narodne novine«, br. 76/93., 29/97., 47/99., 35/08., 127/19. i 151/22.), </w:t>
      </w:r>
      <w:r w:rsidRPr="00840EAC">
        <w:rPr>
          <w:b w:val="0"/>
          <w:sz w:val="24"/>
          <w:szCs w:val="24"/>
        </w:rPr>
        <w:t>članak 9., 10. i 14. Statuta Javne ustanove Nacionalni park Plitvička jezera (Klasa: 003-03/23-06/12, Urbroj: 2125/84-01/4-23</w:t>
      </w:r>
      <w:r w:rsidR="00985053" w:rsidRPr="00840EAC">
        <w:rPr>
          <w:b w:val="0"/>
          <w:sz w:val="24"/>
          <w:szCs w:val="24"/>
        </w:rPr>
        <w:t>-</w:t>
      </w:r>
      <w:r w:rsidRPr="00840EAC">
        <w:rPr>
          <w:b w:val="0"/>
          <w:sz w:val="24"/>
          <w:szCs w:val="24"/>
        </w:rPr>
        <w:t>6 od 30. siječnja 2024. godine), članak 22. Zakona o potpomognutim područjima (»Narodne novine«, br. 118/18.), Odluka Vlade Republike Hrvatske o naknadi jedinicama lokalne samouprave na potpomognutim područjima koju plaćaju javne ustanove vezano za upravljanje zaštićenim područjima ("Narodne novine", br. 43/21.), članak 5. Pravilnika o mjerilima i načinu korištenja nenamjenskih donacija i vlastitih prihoda javnih ustanova koje upravljaju nacionalnim parkovima i parkovima prirode (»Narodne novine«, br. 111/22.).</w:t>
      </w:r>
    </w:p>
    <w:p w:rsidR="003B0BE4" w:rsidRPr="0095615D" w:rsidRDefault="003B0BE4" w:rsidP="003B0BE4">
      <w:pPr>
        <w:pStyle w:val="Naslov8"/>
        <w:jc w:val="left"/>
        <w:rPr>
          <w:sz w:val="24"/>
          <w:szCs w:val="24"/>
        </w:rPr>
      </w:pPr>
      <w:r w:rsidRPr="0095615D">
        <w:rPr>
          <w:sz w:val="24"/>
          <w:szCs w:val="24"/>
        </w:rPr>
        <w:t>Opis aktivnosti:</w:t>
      </w:r>
    </w:p>
    <w:p w:rsidR="003B0BE4" w:rsidRPr="0095615D" w:rsidRDefault="00532E84" w:rsidP="003B0BE4">
      <w:pPr>
        <w:rPr>
          <w:sz w:val="24"/>
          <w:szCs w:val="24"/>
        </w:rPr>
      </w:pPr>
      <w:r w:rsidRPr="0095615D">
        <w:rPr>
          <w:sz w:val="24"/>
          <w:szCs w:val="24"/>
        </w:rPr>
        <w:t>U okviru aktivnosti planirana su sredstva za upravljanje i administraciju radi provedbe aktivnosti predviđenih Planom upravljanja i Godišnjim programom zaštite, održavanja, očuvanja, promicanja i korištenja.</w:t>
      </w:r>
      <w:r w:rsidR="003B0BE4" w:rsidRPr="0095615D">
        <w:rPr>
          <w:sz w:val="24"/>
          <w:szCs w:val="24"/>
        </w:rPr>
        <w:t xml:space="preserve"> Kroz ovu aktivnost osiguravaju se sredstva za plaće djelatnika, materijalne rashode, rashode za pomoći koje se na temelju propisa prenose drugom proračunskom korisniku u nadležnosti istog proračuna i ostale rashode te rashode za nabavu nefinancijske imovine. Sredstva za provođenje aktivnosti osiguravaju se kroz vlastite i namjenske prihode, a koji se mjesečno evidentiraju u sustavu državne riznice sukladno Uputi Ministarstva financija o načinu praćenja, ostvarivanja i trošenja vlastitih i namjenskih prihoda i primitaka javnih ustanova nacionalnih parkova i parkova prirode.</w:t>
      </w:r>
      <w:r w:rsidR="003B0BE4" w:rsidRPr="0095615D">
        <w:t xml:space="preserve"> </w:t>
      </w:r>
      <w:r w:rsidR="003B0BE4" w:rsidRPr="0095615D">
        <w:rPr>
          <w:sz w:val="24"/>
          <w:szCs w:val="24"/>
        </w:rPr>
        <w:t>Postotak izvršenja za 202</w:t>
      </w:r>
      <w:r w:rsidR="0095615D" w:rsidRPr="0095615D">
        <w:rPr>
          <w:sz w:val="24"/>
          <w:szCs w:val="24"/>
        </w:rPr>
        <w:t>4</w:t>
      </w:r>
      <w:r w:rsidR="003B0BE4" w:rsidRPr="0095615D">
        <w:rPr>
          <w:sz w:val="24"/>
          <w:szCs w:val="24"/>
        </w:rPr>
        <w:t>. godinu iznosi 7</w:t>
      </w:r>
      <w:r w:rsidR="0095615D" w:rsidRPr="0095615D">
        <w:rPr>
          <w:sz w:val="24"/>
          <w:szCs w:val="24"/>
        </w:rPr>
        <w:t>8</w:t>
      </w:r>
      <w:r w:rsidR="003B0BE4" w:rsidRPr="0095615D">
        <w:rPr>
          <w:sz w:val="24"/>
          <w:szCs w:val="24"/>
        </w:rPr>
        <w:t>,</w:t>
      </w:r>
      <w:r w:rsidR="0095615D" w:rsidRPr="0095615D">
        <w:rPr>
          <w:sz w:val="24"/>
          <w:szCs w:val="24"/>
        </w:rPr>
        <w:t>6</w:t>
      </w:r>
      <w:r w:rsidR="003B0BE4" w:rsidRPr="0095615D">
        <w:rPr>
          <w:sz w:val="24"/>
          <w:szCs w:val="24"/>
        </w:rPr>
        <w:t>%.</w:t>
      </w:r>
      <w:r w:rsidR="002E2DDB" w:rsidRPr="0095615D">
        <w:rPr>
          <w:sz w:val="24"/>
          <w:szCs w:val="24"/>
        </w:rPr>
        <w:t xml:space="preserve"> </w:t>
      </w:r>
    </w:p>
    <w:p w:rsidR="003B0BE4" w:rsidRPr="00C62F87" w:rsidRDefault="003B0BE4" w:rsidP="006B59D4">
      <w:pPr>
        <w:rPr>
          <w:color w:val="C00000"/>
        </w:rPr>
      </w:pPr>
    </w:p>
    <w:sectPr w:rsidR="003B0BE4" w:rsidRPr="00C62F87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31B" w:rsidRDefault="00D7431B" w:rsidP="00F352E6">
      <w:r>
        <w:separator/>
      </w:r>
    </w:p>
  </w:endnote>
  <w:endnote w:type="continuationSeparator" w:id="0">
    <w:p w:rsidR="00D7431B" w:rsidRDefault="00D7431B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383267"/>
      <w:docPartObj>
        <w:docPartGallery w:val="Page Numbers (Bottom of Page)"/>
        <w:docPartUnique/>
      </w:docPartObj>
    </w:sdtPr>
    <w:sdtEndPr/>
    <w:sdtContent>
      <w:p w:rsidR="00D7431B" w:rsidRDefault="00D7431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D42" w:rsidRPr="00117D42">
          <w:rPr>
            <w:noProof/>
            <w:lang w:val="hr-HR"/>
          </w:rPr>
          <w:t>5</w:t>
        </w:r>
        <w:r>
          <w:fldChar w:fldCharType="end"/>
        </w:r>
      </w:p>
    </w:sdtContent>
  </w:sdt>
  <w:p w:rsidR="00D7431B" w:rsidRPr="00D769ED" w:rsidRDefault="00D7431B" w:rsidP="007D4430">
    <w:pPr>
      <w:pStyle w:val="Podnoje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31B" w:rsidRDefault="00D7431B" w:rsidP="00F352E6">
      <w:r>
        <w:separator/>
      </w:r>
    </w:p>
  </w:footnote>
  <w:footnote w:type="continuationSeparator" w:id="0">
    <w:p w:rsidR="00D7431B" w:rsidRDefault="00D7431B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31B" w:rsidRDefault="00D7431B" w:rsidP="00A70582">
    <w:pPr>
      <w:pStyle w:val="Zaglavlje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6"/>
    <w:rsid w:val="0000016C"/>
    <w:rsid w:val="00007E7A"/>
    <w:rsid w:val="0001070E"/>
    <w:rsid w:val="00013A1A"/>
    <w:rsid w:val="00014817"/>
    <w:rsid w:val="000151F2"/>
    <w:rsid w:val="00023CFF"/>
    <w:rsid w:val="000244D6"/>
    <w:rsid w:val="0002533C"/>
    <w:rsid w:val="000257A7"/>
    <w:rsid w:val="00030163"/>
    <w:rsid w:val="00031611"/>
    <w:rsid w:val="000352D6"/>
    <w:rsid w:val="00042FF1"/>
    <w:rsid w:val="000543A4"/>
    <w:rsid w:val="00061322"/>
    <w:rsid w:val="000657A7"/>
    <w:rsid w:val="00067AA6"/>
    <w:rsid w:val="0007345B"/>
    <w:rsid w:val="00090F8A"/>
    <w:rsid w:val="000947CC"/>
    <w:rsid w:val="000A2506"/>
    <w:rsid w:val="000B36B9"/>
    <w:rsid w:val="000C0017"/>
    <w:rsid w:val="000C0A6C"/>
    <w:rsid w:val="000C2B96"/>
    <w:rsid w:val="000C33CB"/>
    <w:rsid w:val="000C56A9"/>
    <w:rsid w:val="000C7150"/>
    <w:rsid w:val="000D0446"/>
    <w:rsid w:val="000F44CB"/>
    <w:rsid w:val="0010779D"/>
    <w:rsid w:val="001078CD"/>
    <w:rsid w:val="00117D42"/>
    <w:rsid w:val="00123851"/>
    <w:rsid w:val="0013155A"/>
    <w:rsid w:val="001315F8"/>
    <w:rsid w:val="00143CBD"/>
    <w:rsid w:val="00147D17"/>
    <w:rsid w:val="0015051F"/>
    <w:rsid w:val="0015760B"/>
    <w:rsid w:val="001605EE"/>
    <w:rsid w:val="0016688B"/>
    <w:rsid w:val="00172ED9"/>
    <w:rsid w:val="0017490A"/>
    <w:rsid w:val="00181A72"/>
    <w:rsid w:val="00187758"/>
    <w:rsid w:val="001A0B18"/>
    <w:rsid w:val="001A0C1E"/>
    <w:rsid w:val="001A6253"/>
    <w:rsid w:val="001A6C73"/>
    <w:rsid w:val="001B4CBC"/>
    <w:rsid w:val="001B55B2"/>
    <w:rsid w:val="001C6213"/>
    <w:rsid w:val="001D3CB5"/>
    <w:rsid w:val="001D7CF4"/>
    <w:rsid w:val="001D7D25"/>
    <w:rsid w:val="001E5246"/>
    <w:rsid w:val="001E7D7E"/>
    <w:rsid w:val="001F03F2"/>
    <w:rsid w:val="001F1102"/>
    <w:rsid w:val="001F4961"/>
    <w:rsid w:val="001F6C7F"/>
    <w:rsid w:val="00205CF0"/>
    <w:rsid w:val="00224AEA"/>
    <w:rsid w:val="00225119"/>
    <w:rsid w:val="00246750"/>
    <w:rsid w:val="00254A3B"/>
    <w:rsid w:val="00256167"/>
    <w:rsid w:val="00260447"/>
    <w:rsid w:val="00262C12"/>
    <w:rsid w:val="002641CF"/>
    <w:rsid w:val="00267EF1"/>
    <w:rsid w:val="0027042C"/>
    <w:rsid w:val="00275A1E"/>
    <w:rsid w:val="00277005"/>
    <w:rsid w:val="002772D0"/>
    <w:rsid w:val="00283F6F"/>
    <w:rsid w:val="002871AF"/>
    <w:rsid w:val="00287794"/>
    <w:rsid w:val="00294AF4"/>
    <w:rsid w:val="002A224E"/>
    <w:rsid w:val="002A36F6"/>
    <w:rsid w:val="002A39AE"/>
    <w:rsid w:val="002A74BE"/>
    <w:rsid w:val="002B57B2"/>
    <w:rsid w:val="002C43D0"/>
    <w:rsid w:val="002C514F"/>
    <w:rsid w:val="002D00FE"/>
    <w:rsid w:val="002E2DDB"/>
    <w:rsid w:val="002E74B7"/>
    <w:rsid w:val="002E7DEF"/>
    <w:rsid w:val="002F143E"/>
    <w:rsid w:val="002F2C1E"/>
    <w:rsid w:val="002F2FFD"/>
    <w:rsid w:val="002F5043"/>
    <w:rsid w:val="003030EC"/>
    <w:rsid w:val="00304B20"/>
    <w:rsid w:val="00307583"/>
    <w:rsid w:val="00310706"/>
    <w:rsid w:val="00311AA1"/>
    <w:rsid w:val="0031644D"/>
    <w:rsid w:val="00325732"/>
    <w:rsid w:val="00343708"/>
    <w:rsid w:val="00345442"/>
    <w:rsid w:val="00353400"/>
    <w:rsid w:val="00353CCD"/>
    <w:rsid w:val="003652B3"/>
    <w:rsid w:val="003675B2"/>
    <w:rsid w:val="0037254E"/>
    <w:rsid w:val="00376A5C"/>
    <w:rsid w:val="00377420"/>
    <w:rsid w:val="00382225"/>
    <w:rsid w:val="00384DA5"/>
    <w:rsid w:val="00386953"/>
    <w:rsid w:val="003935D0"/>
    <w:rsid w:val="003A3327"/>
    <w:rsid w:val="003A5AC5"/>
    <w:rsid w:val="003B0BE4"/>
    <w:rsid w:val="003B123F"/>
    <w:rsid w:val="003B3D31"/>
    <w:rsid w:val="003D1185"/>
    <w:rsid w:val="003D3A89"/>
    <w:rsid w:val="003D4203"/>
    <w:rsid w:val="003D5C1E"/>
    <w:rsid w:val="003D686A"/>
    <w:rsid w:val="003F2264"/>
    <w:rsid w:val="003F4D11"/>
    <w:rsid w:val="00404913"/>
    <w:rsid w:val="00407D93"/>
    <w:rsid w:val="00411F56"/>
    <w:rsid w:val="004178A5"/>
    <w:rsid w:val="0042285D"/>
    <w:rsid w:val="0043672F"/>
    <w:rsid w:val="004418FE"/>
    <w:rsid w:val="004454BD"/>
    <w:rsid w:val="00447A56"/>
    <w:rsid w:val="00450DCB"/>
    <w:rsid w:val="00463609"/>
    <w:rsid w:val="00463B71"/>
    <w:rsid w:val="004641C8"/>
    <w:rsid w:val="00470BAE"/>
    <w:rsid w:val="00473BA6"/>
    <w:rsid w:val="00480C76"/>
    <w:rsid w:val="004811B9"/>
    <w:rsid w:val="00494529"/>
    <w:rsid w:val="004A1EE0"/>
    <w:rsid w:val="004C01B5"/>
    <w:rsid w:val="004C0C0B"/>
    <w:rsid w:val="004C5BD3"/>
    <w:rsid w:val="004D25A4"/>
    <w:rsid w:val="004E2FA9"/>
    <w:rsid w:val="004F3D43"/>
    <w:rsid w:val="005063F0"/>
    <w:rsid w:val="005149D1"/>
    <w:rsid w:val="00516696"/>
    <w:rsid w:val="005223DB"/>
    <w:rsid w:val="0052289C"/>
    <w:rsid w:val="00524A66"/>
    <w:rsid w:val="005258A2"/>
    <w:rsid w:val="00526A7C"/>
    <w:rsid w:val="00532E84"/>
    <w:rsid w:val="00534865"/>
    <w:rsid w:val="0054337B"/>
    <w:rsid w:val="005468D5"/>
    <w:rsid w:val="0055579B"/>
    <w:rsid w:val="00561C16"/>
    <w:rsid w:val="00565224"/>
    <w:rsid w:val="00574349"/>
    <w:rsid w:val="00576ED3"/>
    <w:rsid w:val="00576EFF"/>
    <w:rsid w:val="00580362"/>
    <w:rsid w:val="00582747"/>
    <w:rsid w:val="00582EC4"/>
    <w:rsid w:val="00584535"/>
    <w:rsid w:val="00587E97"/>
    <w:rsid w:val="0059481D"/>
    <w:rsid w:val="005A4613"/>
    <w:rsid w:val="005A70C0"/>
    <w:rsid w:val="005B6ED7"/>
    <w:rsid w:val="005B6F09"/>
    <w:rsid w:val="005B7E5F"/>
    <w:rsid w:val="005C463B"/>
    <w:rsid w:val="005C743B"/>
    <w:rsid w:val="005D0208"/>
    <w:rsid w:val="005D21FB"/>
    <w:rsid w:val="005D58E1"/>
    <w:rsid w:val="005D59FA"/>
    <w:rsid w:val="005E12E3"/>
    <w:rsid w:val="005E1D14"/>
    <w:rsid w:val="005E2D85"/>
    <w:rsid w:val="005E662E"/>
    <w:rsid w:val="005E7ABA"/>
    <w:rsid w:val="005F2C2B"/>
    <w:rsid w:val="005F5871"/>
    <w:rsid w:val="005F6FA1"/>
    <w:rsid w:val="00603EB2"/>
    <w:rsid w:val="00610AA3"/>
    <w:rsid w:val="0062012A"/>
    <w:rsid w:val="00620AA0"/>
    <w:rsid w:val="00630993"/>
    <w:rsid w:val="00631207"/>
    <w:rsid w:val="00633683"/>
    <w:rsid w:val="00646077"/>
    <w:rsid w:val="00653640"/>
    <w:rsid w:val="00656568"/>
    <w:rsid w:val="00660E65"/>
    <w:rsid w:val="00661A02"/>
    <w:rsid w:val="00662761"/>
    <w:rsid w:val="006629C0"/>
    <w:rsid w:val="00666F9B"/>
    <w:rsid w:val="00674346"/>
    <w:rsid w:val="00682213"/>
    <w:rsid w:val="006845E1"/>
    <w:rsid w:val="00685919"/>
    <w:rsid w:val="00685DAB"/>
    <w:rsid w:val="006A3504"/>
    <w:rsid w:val="006A5C0F"/>
    <w:rsid w:val="006A6F54"/>
    <w:rsid w:val="006B3283"/>
    <w:rsid w:val="006B3634"/>
    <w:rsid w:val="006B59D4"/>
    <w:rsid w:val="006D258E"/>
    <w:rsid w:val="006E0917"/>
    <w:rsid w:val="006E407D"/>
    <w:rsid w:val="006F2B85"/>
    <w:rsid w:val="0070063E"/>
    <w:rsid w:val="0070094B"/>
    <w:rsid w:val="007066F3"/>
    <w:rsid w:val="00707101"/>
    <w:rsid w:val="00744851"/>
    <w:rsid w:val="00752A8C"/>
    <w:rsid w:val="00754C75"/>
    <w:rsid w:val="00763864"/>
    <w:rsid w:val="00765CA7"/>
    <w:rsid w:val="007665AA"/>
    <w:rsid w:val="007819E7"/>
    <w:rsid w:val="00781E19"/>
    <w:rsid w:val="00784E0D"/>
    <w:rsid w:val="00787406"/>
    <w:rsid w:val="007A673E"/>
    <w:rsid w:val="007A6F1A"/>
    <w:rsid w:val="007A7E45"/>
    <w:rsid w:val="007B023A"/>
    <w:rsid w:val="007C28A0"/>
    <w:rsid w:val="007D1C46"/>
    <w:rsid w:val="007D395B"/>
    <w:rsid w:val="007D4430"/>
    <w:rsid w:val="007D5C67"/>
    <w:rsid w:val="007D7D39"/>
    <w:rsid w:val="007F1323"/>
    <w:rsid w:val="007F2024"/>
    <w:rsid w:val="007F3A48"/>
    <w:rsid w:val="007F3AAD"/>
    <w:rsid w:val="007F3CB6"/>
    <w:rsid w:val="0081119D"/>
    <w:rsid w:val="00834B32"/>
    <w:rsid w:val="008357C3"/>
    <w:rsid w:val="00836C34"/>
    <w:rsid w:val="008375C6"/>
    <w:rsid w:val="00840EAC"/>
    <w:rsid w:val="00843135"/>
    <w:rsid w:val="00847495"/>
    <w:rsid w:val="00861219"/>
    <w:rsid w:val="008636E2"/>
    <w:rsid w:val="00863F6B"/>
    <w:rsid w:val="008674FA"/>
    <w:rsid w:val="0087467F"/>
    <w:rsid w:val="008774BA"/>
    <w:rsid w:val="008A25E1"/>
    <w:rsid w:val="008A7E2A"/>
    <w:rsid w:val="008B2C1B"/>
    <w:rsid w:val="008C1E1C"/>
    <w:rsid w:val="008C22F3"/>
    <w:rsid w:val="008C4D2D"/>
    <w:rsid w:val="008C7B22"/>
    <w:rsid w:val="008D4656"/>
    <w:rsid w:val="008E2142"/>
    <w:rsid w:val="008E59A3"/>
    <w:rsid w:val="008F09F3"/>
    <w:rsid w:val="009024F4"/>
    <w:rsid w:val="0090453E"/>
    <w:rsid w:val="009121AC"/>
    <w:rsid w:val="00913854"/>
    <w:rsid w:val="009149B7"/>
    <w:rsid w:val="00916817"/>
    <w:rsid w:val="00922D12"/>
    <w:rsid w:val="009273B3"/>
    <w:rsid w:val="009359F2"/>
    <w:rsid w:val="0094382E"/>
    <w:rsid w:val="0094527C"/>
    <w:rsid w:val="00946D42"/>
    <w:rsid w:val="00951B1A"/>
    <w:rsid w:val="0095615D"/>
    <w:rsid w:val="00956227"/>
    <w:rsid w:val="0096016F"/>
    <w:rsid w:val="00960B0E"/>
    <w:rsid w:val="009619AE"/>
    <w:rsid w:val="009677F9"/>
    <w:rsid w:val="00971306"/>
    <w:rsid w:val="009726D3"/>
    <w:rsid w:val="00973EF9"/>
    <w:rsid w:val="00974F94"/>
    <w:rsid w:val="00985053"/>
    <w:rsid w:val="0098541D"/>
    <w:rsid w:val="00990680"/>
    <w:rsid w:val="00992318"/>
    <w:rsid w:val="009A2379"/>
    <w:rsid w:val="009A742F"/>
    <w:rsid w:val="009B1A5B"/>
    <w:rsid w:val="009C4D6A"/>
    <w:rsid w:val="009C66F1"/>
    <w:rsid w:val="009D6FD1"/>
    <w:rsid w:val="009E33D3"/>
    <w:rsid w:val="009E672B"/>
    <w:rsid w:val="009F030E"/>
    <w:rsid w:val="009F68BD"/>
    <w:rsid w:val="00A021A2"/>
    <w:rsid w:val="00A021D8"/>
    <w:rsid w:val="00A029B2"/>
    <w:rsid w:val="00A030B2"/>
    <w:rsid w:val="00A109B5"/>
    <w:rsid w:val="00A23199"/>
    <w:rsid w:val="00A27F3C"/>
    <w:rsid w:val="00A320E5"/>
    <w:rsid w:val="00A376EC"/>
    <w:rsid w:val="00A41AE8"/>
    <w:rsid w:val="00A44663"/>
    <w:rsid w:val="00A47F64"/>
    <w:rsid w:val="00A5403E"/>
    <w:rsid w:val="00A5485A"/>
    <w:rsid w:val="00A611A4"/>
    <w:rsid w:val="00A61CC7"/>
    <w:rsid w:val="00A70582"/>
    <w:rsid w:val="00A74444"/>
    <w:rsid w:val="00A76B00"/>
    <w:rsid w:val="00A85EC9"/>
    <w:rsid w:val="00A86916"/>
    <w:rsid w:val="00A87BDC"/>
    <w:rsid w:val="00A946D8"/>
    <w:rsid w:val="00AA0A7E"/>
    <w:rsid w:val="00AA0D62"/>
    <w:rsid w:val="00AA0EAF"/>
    <w:rsid w:val="00AA3F0D"/>
    <w:rsid w:val="00AB5FEA"/>
    <w:rsid w:val="00AB7B4E"/>
    <w:rsid w:val="00AC1692"/>
    <w:rsid w:val="00AC2485"/>
    <w:rsid w:val="00AC38F4"/>
    <w:rsid w:val="00AD45D2"/>
    <w:rsid w:val="00AE1D9C"/>
    <w:rsid w:val="00B05C19"/>
    <w:rsid w:val="00B15946"/>
    <w:rsid w:val="00B20558"/>
    <w:rsid w:val="00B2737F"/>
    <w:rsid w:val="00B303DC"/>
    <w:rsid w:val="00B31E2E"/>
    <w:rsid w:val="00B32ADE"/>
    <w:rsid w:val="00B37E5E"/>
    <w:rsid w:val="00B41BF8"/>
    <w:rsid w:val="00B433DE"/>
    <w:rsid w:val="00B519AC"/>
    <w:rsid w:val="00B530A7"/>
    <w:rsid w:val="00B54D21"/>
    <w:rsid w:val="00B55B48"/>
    <w:rsid w:val="00B6675D"/>
    <w:rsid w:val="00B714BF"/>
    <w:rsid w:val="00B7335A"/>
    <w:rsid w:val="00B74473"/>
    <w:rsid w:val="00B8624E"/>
    <w:rsid w:val="00B91496"/>
    <w:rsid w:val="00BA487B"/>
    <w:rsid w:val="00BA59C0"/>
    <w:rsid w:val="00BA7788"/>
    <w:rsid w:val="00BA7BD1"/>
    <w:rsid w:val="00BB39CC"/>
    <w:rsid w:val="00BB642B"/>
    <w:rsid w:val="00BD5157"/>
    <w:rsid w:val="00BE219B"/>
    <w:rsid w:val="00BF02E9"/>
    <w:rsid w:val="00BF0D7A"/>
    <w:rsid w:val="00BF3F24"/>
    <w:rsid w:val="00BF6222"/>
    <w:rsid w:val="00C00E2A"/>
    <w:rsid w:val="00C03828"/>
    <w:rsid w:val="00C03A50"/>
    <w:rsid w:val="00C03BBD"/>
    <w:rsid w:val="00C065BD"/>
    <w:rsid w:val="00C10B5F"/>
    <w:rsid w:val="00C17880"/>
    <w:rsid w:val="00C309DD"/>
    <w:rsid w:val="00C31CF8"/>
    <w:rsid w:val="00C3302C"/>
    <w:rsid w:val="00C35DEE"/>
    <w:rsid w:val="00C37095"/>
    <w:rsid w:val="00C41868"/>
    <w:rsid w:val="00C4706D"/>
    <w:rsid w:val="00C52944"/>
    <w:rsid w:val="00C62F87"/>
    <w:rsid w:val="00C6329C"/>
    <w:rsid w:val="00C71056"/>
    <w:rsid w:val="00C7470A"/>
    <w:rsid w:val="00C82284"/>
    <w:rsid w:val="00C90A27"/>
    <w:rsid w:val="00C93A26"/>
    <w:rsid w:val="00CA2232"/>
    <w:rsid w:val="00CA3AC7"/>
    <w:rsid w:val="00CA777A"/>
    <w:rsid w:val="00CB00D3"/>
    <w:rsid w:val="00CB425F"/>
    <w:rsid w:val="00CC0238"/>
    <w:rsid w:val="00CC55AA"/>
    <w:rsid w:val="00CE67FB"/>
    <w:rsid w:val="00CE797D"/>
    <w:rsid w:val="00CF4BBB"/>
    <w:rsid w:val="00CF771E"/>
    <w:rsid w:val="00D02C29"/>
    <w:rsid w:val="00D03282"/>
    <w:rsid w:val="00D03A7B"/>
    <w:rsid w:val="00D1274E"/>
    <w:rsid w:val="00D14222"/>
    <w:rsid w:val="00D2496A"/>
    <w:rsid w:val="00D412FE"/>
    <w:rsid w:val="00D41593"/>
    <w:rsid w:val="00D47424"/>
    <w:rsid w:val="00D51F7C"/>
    <w:rsid w:val="00D539C2"/>
    <w:rsid w:val="00D573EB"/>
    <w:rsid w:val="00D610D6"/>
    <w:rsid w:val="00D63950"/>
    <w:rsid w:val="00D66049"/>
    <w:rsid w:val="00D7314C"/>
    <w:rsid w:val="00D7431B"/>
    <w:rsid w:val="00D75621"/>
    <w:rsid w:val="00D76055"/>
    <w:rsid w:val="00D8061D"/>
    <w:rsid w:val="00D972EB"/>
    <w:rsid w:val="00DA375B"/>
    <w:rsid w:val="00DB79B6"/>
    <w:rsid w:val="00DC2E76"/>
    <w:rsid w:val="00DC4270"/>
    <w:rsid w:val="00DC4F4F"/>
    <w:rsid w:val="00DD2A62"/>
    <w:rsid w:val="00DD2CF7"/>
    <w:rsid w:val="00DD44FC"/>
    <w:rsid w:val="00DD48DA"/>
    <w:rsid w:val="00DD6620"/>
    <w:rsid w:val="00DD6885"/>
    <w:rsid w:val="00DE2416"/>
    <w:rsid w:val="00DE40C6"/>
    <w:rsid w:val="00DE42F1"/>
    <w:rsid w:val="00DF5020"/>
    <w:rsid w:val="00DF7B52"/>
    <w:rsid w:val="00E04757"/>
    <w:rsid w:val="00E0505B"/>
    <w:rsid w:val="00E111F9"/>
    <w:rsid w:val="00E27FCF"/>
    <w:rsid w:val="00E358E6"/>
    <w:rsid w:val="00E36E6E"/>
    <w:rsid w:val="00E36F2A"/>
    <w:rsid w:val="00E40B92"/>
    <w:rsid w:val="00E42E87"/>
    <w:rsid w:val="00E56A17"/>
    <w:rsid w:val="00E608F3"/>
    <w:rsid w:val="00E62EF0"/>
    <w:rsid w:val="00E634FC"/>
    <w:rsid w:val="00E75C43"/>
    <w:rsid w:val="00E80197"/>
    <w:rsid w:val="00E8298D"/>
    <w:rsid w:val="00E9321B"/>
    <w:rsid w:val="00EA5D21"/>
    <w:rsid w:val="00EB35A6"/>
    <w:rsid w:val="00EC27BD"/>
    <w:rsid w:val="00ED0E3A"/>
    <w:rsid w:val="00ED4E5A"/>
    <w:rsid w:val="00EE126E"/>
    <w:rsid w:val="00EE218A"/>
    <w:rsid w:val="00EF4E50"/>
    <w:rsid w:val="00EF5A3F"/>
    <w:rsid w:val="00EF6AE1"/>
    <w:rsid w:val="00F129EB"/>
    <w:rsid w:val="00F13757"/>
    <w:rsid w:val="00F17B21"/>
    <w:rsid w:val="00F24259"/>
    <w:rsid w:val="00F26652"/>
    <w:rsid w:val="00F352E6"/>
    <w:rsid w:val="00F3632B"/>
    <w:rsid w:val="00F36D69"/>
    <w:rsid w:val="00F44E0F"/>
    <w:rsid w:val="00F50B42"/>
    <w:rsid w:val="00F540A2"/>
    <w:rsid w:val="00F61F75"/>
    <w:rsid w:val="00F63BA6"/>
    <w:rsid w:val="00F66043"/>
    <w:rsid w:val="00F67315"/>
    <w:rsid w:val="00F75A8D"/>
    <w:rsid w:val="00F767D9"/>
    <w:rsid w:val="00F77047"/>
    <w:rsid w:val="00F80FC0"/>
    <w:rsid w:val="00F91724"/>
    <w:rsid w:val="00F92AEE"/>
    <w:rsid w:val="00F92D33"/>
    <w:rsid w:val="00F97B46"/>
    <w:rsid w:val="00FA4DEA"/>
    <w:rsid w:val="00FC39A5"/>
    <w:rsid w:val="00FC67AA"/>
    <w:rsid w:val="00FD4475"/>
    <w:rsid w:val="00FE048E"/>
    <w:rsid w:val="00FE4B89"/>
    <w:rsid w:val="00FE4E52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2D88AA89-FEE1-4AC6-AED2-B61CDEC9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uiPriority w:val="99"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uiPriority w:val="39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character" w:customStyle="1" w:styleId="userinputholderreadonly">
    <w:name w:val="userinputholderreadonly"/>
    <w:basedOn w:val="Zadanifontodlomka"/>
    <w:rsid w:val="00ED4E5A"/>
  </w:style>
  <w:style w:type="paragraph" w:styleId="Tekstbalonia">
    <w:name w:val="Balloon Text"/>
    <w:basedOn w:val="Normal"/>
    <w:link w:val="TekstbaloniaChar"/>
    <w:uiPriority w:val="99"/>
    <w:semiHidden/>
    <w:unhideWhenUsed/>
    <w:rsid w:val="00D415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1593"/>
    <w:rPr>
      <w:rFonts w:ascii="Segoe UI" w:eastAsia="Times New Roman" w:hAnsi="Segoe UI" w:cs="Segoe UI"/>
      <w:sz w:val="18"/>
      <w:szCs w:val="18"/>
      <w:lang w:val="sl-SI"/>
    </w:rPr>
  </w:style>
  <w:style w:type="paragraph" w:styleId="Odlomakpopisa">
    <w:name w:val="List Paragraph"/>
    <w:basedOn w:val="Normal"/>
    <w:uiPriority w:val="34"/>
    <w:qFormat/>
    <w:rsid w:val="00646077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5E662E"/>
    <w:pPr>
      <w:spacing w:after="0"/>
    </w:pPr>
    <w:rPr>
      <w:sz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E662E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Referencafusnote">
    <w:name w:val="footnote reference"/>
    <w:basedOn w:val="Zadanifontodlomka"/>
    <w:uiPriority w:val="99"/>
    <w:semiHidden/>
    <w:unhideWhenUsed/>
    <w:rsid w:val="005E66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98428-2FBF-451B-8D18-47F49FF9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3454</TotalTime>
  <Pages>5</Pages>
  <Words>1810</Words>
  <Characters>10323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Marasović</dc:creator>
  <cp:lastModifiedBy>Silvija Rubčić Kovačić</cp:lastModifiedBy>
  <cp:revision>378</cp:revision>
  <cp:lastPrinted>2022-07-12T05:39:00Z</cp:lastPrinted>
  <dcterms:created xsi:type="dcterms:W3CDTF">2020-10-02T12:31:00Z</dcterms:created>
  <dcterms:modified xsi:type="dcterms:W3CDTF">2025-03-13T08:51:00Z</dcterms:modified>
</cp:coreProperties>
</file>